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018AB000" w:rsidR="00F350AC" w:rsidRPr="000E5AE0" w:rsidRDefault="00F350AC" w:rsidP="00F350AC">
      <w:pPr>
        <w:pStyle w:val="a4"/>
        <w:rPr>
          <w:rFonts w:eastAsia="宋体" w:cs="Arial" w:hint="eastAsia"/>
          <w:bCs/>
          <w:sz w:val="22"/>
          <w:lang w:eastAsia="zh-CN"/>
        </w:rPr>
      </w:pPr>
      <w:r w:rsidRPr="00407D19">
        <w:rPr>
          <w:rFonts w:cs="Arial"/>
          <w:bCs/>
          <w:sz w:val="22"/>
        </w:rPr>
        <w:t xml:space="preserve">3GPP TSG RAN WG1 </w:t>
      </w:r>
      <w:r>
        <w:rPr>
          <w:rFonts w:eastAsia="宋体" w:cs="Arial" w:hint="eastAsia"/>
          <w:bCs/>
          <w:sz w:val="22"/>
          <w:lang w:eastAsia="zh-CN"/>
        </w:rPr>
        <w:t>#97</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R1-</w:t>
      </w:r>
      <w:r>
        <w:rPr>
          <w:rFonts w:cs="Arial"/>
          <w:sz w:val="16"/>
          <w:szCs w:val="16"/>
        </w:rPr>
        <w:t xml:space="preserve"> </w:t>
      </w:r>
      <w:r>
        <w:rPr>
          <w:rFonts w:cs="Arial"/>
          <w:bCs/>
          <w:sz w:val="22"/>
        </w:rPr>
        <w:t>19</w:t>
      </w:r>
      <w:r>
        <w:rPr>
          <w:rFonts w:cs="Arial"/>
          <w:bCs/>
          <w:sz w:val="22"/>
        </w:rPr>
        <w:t>06136</w:t>
      </w:r>
    </w:p>
    <w:p w14:paraId="3B07164B" w14:textId="77777777" w:rsidR="00F350AC" w:rsidRPr="003F0617" w:rsidRDefault="00F350AC" w:rsidP="00F350AC">
      <w:pPr>
        <w:pStyle w:val="a4"/>
        <w:rPr>
          <w:rFonts w:cs="Arial"/>
          <w:bCs/>
          <w:sz w:val="22"/>
        </w:rPr>
      </w:pPr>
      <w:r w:rsidRPr="009B1D1E">
        <w:rPr>
          <w:rFonts w:cs="Arial"/>
          <w:bCs/>
          <w:sz w:val="22"/>
        </w:rPr>
        <w:t>Reno, USA, May 13th – 17th,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1C0D93A"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74050" w:rsidRPr="00774050">
        <w:rPr>
          <w:rFonts w:eastAsia="宋体" w:cs="Arial"/>
          <w:lang w:eastAsia="zh-CN"/>
        </w:rPr>
        <w:t>Discussion on resource multiplexing among backhaul and access links</w:t>
      </w:r>
    </w:p>
    <w:p w14:paraId="151BE230" w14:textId="7AE45CB0"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5629AE">
        <w:rPr>
          <w:rFonts w:eastAsia="宋体" w:cs="Arial"/>
          <w:lang w:eastAsia="zh-CN"/>
        </w:rPr>
        <w:t>.3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72677AB0" w14:textId="0EFE5740" w:rsidR="000056A7" w:rsidRDefault="0013670E" w:rsidP="0013670E">
      <w:pPr>
        <w:rPr>
          <w:sz w:val="20"/>
          <w:szCs w:val="20"/>
        </w:rPr>
      </w:pPr>
      <w:r>
        <w:rPr>
          <w:sz w:val="20"/>
          <w:szCs w:val="20"/>
        </w:rPr>
        <w:t>It is being captured</w:t>
      </w:r>
      <w:r w:rsidR="00E27881">
        <w:rPr>
          <w:sz w:val="20"/>
          <w:szCs w:val="20"/>
        </w:rPr>
        <w:t xml:space="preserve"> in the agreements</w:t>
      </w:r>
      <w:r>
        <w:rPr>
          <w:sz w:val="20"/>
          <w:szCs w:val="20"/>
        </w:rPr>
        <w:t xml:space="preserve"> or expected</w:t>
      </w:r>
      <w:r w:rsidR="00E27881">
        <w:rPr>
          <w:sz w:val="20"/>
          <w:szCs w:val="20"/>
        </w:rPr>
        <w:t xml:space="preserve"> in the summary that</w:t>
      </w:r>
      <w:r>
        <w:rPr>
          <w:sz w:val="20"/>
          <w:szCs w:val="20"/>
        </w:rPr>
        <w:t xml:space="preserve"> the following FFS part after RAN1#96 meeting is for further discussion.</w:t>
      </w:r>
    </w:p>
    <w:p w14:paraId="7AF331F7" w14:textId="77777777" w:rsidR="00F350AC" w:rsidRPr="00F350AC" w:rsidRDefault="00F350AC" w:rsidP="00F350AC">
      <w:pPr>
        <w:rPr>
          <w:rFonts w:ascii="Times" w:eastAsia="Batang" w:hAnsi="Times"/>
          <w:sz w:val="20"/>
          <w:szCs w:val="20"/>
          <w:lang w:val="en-GB" w:eastAsia="x-none"/>
        </w:rPr>
      </w:pPr>
      <w:r w:rsidRPr="00F350AC">
        <w:rPr>
          <w:rFonts w:ascii="Times" w:eastAsia="Batang" w:hAnsi="Times"/>
          <w:sz w:val="20"/>
          <w:szCs w:val="20"/>
          <w:highlight w:val="green"/>
          <w:lang w:val="en-GB" w:eastAsia="x-none"/>
        </w:rPr>
        <w:t>Agreements</w:t>
      </w:r>
      <w:r w:rsidRPr="00F350AC">
        <w:rPr>
          <w:rFonts w:ascii="Times" w:eastAsia="Batang" w:hAnsi="Times"/>
          <w:sz w:val="20"/>
          <w:szCs w:val="20"/>
          <w:lang w:val="en-GB" w:eastAsia="x-none"/>
        </w:rPr>
        <w:t>:</w:t>
      </w:r>
    </w:p>
    <w:p w14:paraId="72EEAC54" w14:textId="77777777" w:rsidR="0013670E" w:rsidRPr="0013670E" w:rsidRDefault="0013670E" w:rsidP="0013670E">
      <w:pPr>
        <w:numPr>
          <w:ilvl w:val="0"/>
          <w:numId w:val="25"/>
        </w:numPr>
        <w:spacing w:before="60" w:after="120"/>
        <w:jc w:val="both"/>
        <w:rPr>
          <w:sz w:val="20"/>
          <w:szCs w:val="20"/>
        </w:rPr>
      </w:pPr>
      <w:r w:rsidRPr="0013670E">
        <w:rPr>
          <w:sz w:val="20"/>
          <w:szCs w:val="20"/>
        </w:rPr>
        <w:t xml:space="preserve">In case of hard DU resources, </w:t>
      </w:r>
    </w:p>
    <w:p w14:paraId="0A62E054" w14:textId="4956139E" w:rsidR="0013670E" w:rsidRPr="0013670E" w:rsidRDefault="0013670E" w:rsidP="0013670E">
      <w:pPr>
        <w:numPr>
          <w:ilvl w:val="1"/>
          <w:numId w:val="25"/>
        </w:numPr>
        <w:spacing w:before="60" w:after="120"/>
        <w:jc w:val="both"/>
        <w:rPr>
          <w:sz w:val="20"/>
          <w:szCs w:val="20"/>
        </w:rPr>
      </w:pPr>
      <w:r w:rsidRPr="0013670E">
        <w:rPr>
          <w:sz w:val="20"/>
          <w:szCs w:val="20"/>
        </w:rPr>
        <w:t>FFS: Exception cases for specific signals/channels to be transmitted or received by the MT in the same resource (e.g. SS/PBCH blocks, SI reception, RACH).</w:t>
      </w:r>
    </w:p>
    <w:p w14:paraId="658A4825" w14:textId="77777777" w:rsidR="0013670E" w:rsidRDefault="0013670E" w:rsidP="0013670E">
      <w:pPr>
        <w:numPr>
          <w:ilvl w:val="0"/>
          <w:numId w:val="25"/>
        </w:numPr>
        <w:spacing w:before="60" w:after="120"/>
        <w:jc w:val="both"/>
        <w:rPr>
          <w:sz w:val="20"/>
          <w:szCs w:val="20"/>
        </w:rPr>
      </w:pPr>
      <w:r w:rsidRPr="0013670E">
        <w:rPr>
          <w:sz w:val="20"/>
          <w:szCs w:val="20"/>
        </w:rPr>
        <w:t xml:space="preserve">In case of soft DU resources, </w:t>
      </w:r>
    </w:p>
    <w:p w14:paraId="5F97F586" w14:textId="04FE9C45" w:rsidR="0013670E" w:rsidRPr="0013670E" w:rsidRDefault="0013670E" w:rsidP="0013670E">
      <w:pPr>
        <w:numPr>
          <w:ilvl w:val="1"/>
          <w:numId w:val="25"/>
        </w:numPr>
        <w:spacing w:before="60" w:after="120"/>
        <w:jc w:val="both"/>
        <w:rPr>
          <w:sz w:val="20"/>
          <w:szCs w:val="20"/>
        </w:rPr>
      </w:pPr>
      <w:r w:rsidRPr="0013670E">
        <w:rPr>
          <w:sz w:val="20"/>
          <w:szCs w:val="20"/>
        </w:rPr>
        <w:t>FFS the use of soft resources in case of cell-specific (e.g. SS/PBCH blocks, SI reception, RACH) signals and channels to be potentially transmitted/received at the DU.</w:t>
      </w:r>
    </w:p>
    <w:p w14:paraId="4A81FDE7" w14:textId="77777777" w:rsidR="00E27881" w:rsidRDefault="0013670E" w:rsidP="0013670E">
      <w:pPr>
        <w:numPr>
          <w:ilvl w:val="0"/>
          <w:numId w:val="25"/>
        </w:numPr>
        <w:spacing w:before="60" w:after="120"/>
        <w:jc w:val="both"/>
        <w:rPr>
          <w:sz w:val="20"/>
          <w:szCs w:val="20"/>
        </w:rPr>
      </w:pPr>
      <w:r w:rsidRPr="0013670E">
        <w:rPr>
          <w:sz w:val="20"/>
          <w:szCs w:val="20"/>
        </w:rPr>
        <w:t xml:space="preserve">In case of soft DU resources and implicit indication of DU soft-resource availability, </w:t>
      </w:r>
    </w:p>
    <w:p w14:paraId="08B72C58" w14:textId="77F65BF5" w:rsidR="0013670E" w:rsidRPr="0013670E" w:rsidRDefault="0013670E" w:rsidP="00E27881">
      <w:pPr>
        <w:numPr>
          <w:ilvl w:val="1"/>
          <w:numId w:val="25"/>
        </w:numPr>
        <w:spacing w:before="60" w:after="120"/>
        <w:jc w:val="both"/>
        <w:rPr>
          <w:sz w:val="20"/>
          <w:szCs w:val="20"/>
        </w:rPr>
      </w:pPr>
      <w:r w:rsidRPr="0013670E">
        <w:rPr>
          <w:sz w:val="20"/>
          <w:szCs w:val="20"/>
        </w:rPr>
        <w:t>FFS: consider whether the parent should be able to always be aware of/control the outcome of implicit indications at child nodes.</w:t>
      </w:r>
    </w:p>
    <w:p w14:paraId="4132CC6D" w14:textId="77777777" w:rsidR="00E27881" w:rsidRDefault="0013670E" w:rsidP="0013670E">
      <w:pPr>
        <w:numPr>
          <w:ilvl w:val="0"/>
          <w:numId w:val="25"/>
        </w:numPr>
        <w:spacing w:before="60" w:after="120"/>
        <w:jc w:val="both"/>
        <w:rPr>
          <w:sz w:val="20"/>
          <w:szCs w:val="20"/>
        </w:rPr>
      </w:pPr>
      <w:r w:rsidRPr="0013670E">
        <w:rPr>
          <w:sz w:val="20"/>
          <w:szCs w:val="20"/>
        </w:rPr>
        <w:t xml:space="preserve">In case of soft DU resources and explicit indication that a resource is available is based on DCI indication, </w:t>
      </w:r>
    </w:p>
    <w:p w14:paraId="7E6CA216" w14:textId="54D94657" w:rsidR="0013670E" w:rsidRPr="0013670E" w:rsidRDefault="0013670E" w:rsidP="00E27881">
      <w:pPr>
        <w:numPr>
          <w:ilvl w:val="1"/>
          <w:numId w:val="25"/>
        </w:numPr>
        <w:spacing w:before="60" w:after="120"/>
        <w:jc w:val="both"/>
        <w:rPr>
          <w:sz w:val="20"/>
          <w:szCs w:val="20"/>
        </w:rPr>
      </w:pPr>
      <w:r w:rsidRPr="0013670E">
        <w:rPr>
          <w:sz w:val="20"/>
          <w:szCs w:val="20"/>
        </w:rPr>
        <w:t>FFS: whether an explicit indication that a resource is available always has priority over any implicit determination of the availability of a resource.</w:t>
      </w:r>
    </w:p>
    <w:p w14:paraId="4BA4846B" w14:textId="77777777" w:rsidR="00E27881" w:rsidRPr="00E27881" w:rsidRDefault="00E27881" w:rsidP="00E27881">
      <w:pPr>
        <w:pStyle w:val="af3"/>
        <w:numPr>
          <w:ilvl w:val="0"/>
          <w:numId w:val="25"/>
        </w:numPr>
        <w:ind w:firstLineChars="0"/>
        <w:rPr>
          <w:rFonts w:ascii="Times New Roman" w:eastAsia="Times New Roman" w:hAnsi="Times New Roman" w:cs="Times New Roman"/>
          <w:sz w:val="20"/>
          <w:szCs w:val="20"/>
          <w:lang w:eastAsia="en-US"/>
        </w:rPr>
      </w:pPr>
      <w:r w:rsidRPr="00E27881">
        <w:rPr>
          <w:rFonts w:ascii="Times New Roman" w:eastAsia="Times New Roman" w:hAnsi="Times New Roman" w:cs="Times New Roman"/>
          <w:sz w:val="20"/>
          <w:szCs w:val="20"/>
          <w:lang w:eastAsia="en-US"/>
        </w:rPr>
        <w:t>Further consider factors impacting the usage of soft resources at a child DU, including:</w:t>
      </w:r>
    </w:p>
    <w:p w14:paraId="40E06475" w14:textId="77777777" w:rsidR="00E27881" w:rsidRPr="00E27881" w:rsidRDefault="00E27881" w:rsidP="00E27881">
      <w:pPr>
        <w:numPr>
          <w:ilvl w:val="1"/>
          <w:numId w:val="25"/>
        </w:numPr>
        <w:spacing w:before="60" w:after="120"/>
        <w:jc w:val="both"/>
        <w:rPr>
          <w:sz w:val="20"/>
          <w:szCs w:val="20"/>
        </w:rPr>
      </w:pPr>
      <w:r w:rsidRPr="00E27881">
        <w:rPr>
          <w:sz w:val="20"/>
          <w:szCs w:val="20"/>
        </w:rPr>
        <w:t>MT’s decoding delay</w:t>
      </w:r>
    </w:p>
    <w:p w14:paraId="7B7AA39C" w14:textId="77777777" w:rsidR="00E27881" w:rsidRPr="00E27881" w:rsidRDefault="00E27881" w:rsidP="00E27881">
      <w:pPr>
        <w:numPr>
          <w:ilvl w:val="1"/>
          <w:numId w:val="25"/>
        </w:numPr>
        <w:spacing w:before="60" w:after="120"/>
        <w:jc w:val="both"/>
        <w:rPr>
          <w:sz w:val="20"/>
          <w:szCs w:val="20"/>
        </w:rPr>
      </w:pPr>
      <w:r w:rsidRPr="00E27881">
        <w:rPr>
          <w:sz w:val="20"/>
          <w:szCs w:val="20"/>
        </w:rPr>
        <w:t>Information exchange delay between MT and DU</w:t>
      </w:r>
    </w:p>
    <w:p w14:paraId="2AE396FA" w14:textId="77777777" w:rsidR="00E27881" w:rsidRPr="00E27881" w:rsidRDefault="00E27881" w:rsidP="00E27881">
      <w:pPr>
        <w:numPr>
          <w:ilvl w:val="1"/>
          <w:numId w:val="25"/>
        </w:numPr>
        <w:spacing w:before="60" w:after="120"/>
        <w:jc w:val="both"/>
        <w:rPr>
          <w:sz w:val="20"/>
          <w:szCs w:val="20"/>
        </w:rPr>
      </w:pPr>
      <w:r w:rsidRPr="00E27881">
        <w:rPr>
          <w:sz w:val="20"/>
          <w:szCs w:val="20"/>
        </w:rPr>
        <w:t>DU’s PDSCH preparation time</w:t>
      </w:r>
    </w:p>
    <w:p w14:paraId="7823BFAC" w14:textId="77777777" w:rsidR="00E27881" w:rsidRPr="00E27881" w:rsidRDefault="00E27881" w:rsidP="00E27881">
      <w:pPr>
        <w:numPr>
          <w:ilvl w:val="1"/>
          <w:numId w:val="25"/>
        </w:numPr>
        <w:spacing w:before="60" w:after="120"/>
        <w:jc w:val="both"/>
        <w:rPr>
          <w:sz w:val="20"/>
          <w:szCs w:val="20"/>
        </w:rPr>
      </w:pPr>
      <w:r w:rsidRPr="00E27881">
        <w:rPr>
          <w:sz w:val="20"/>
          <w:szCs w:val="20"/>
        </w:rPr>
        <w:t>UE PUSCH preparation time</w:t>
      </w:r>
    </w:p>
    <w:p w14:paraId="0E7D14EF" w14:textId="77777777" w:rsidR="00E27881" w:rsidRPr="00E27881" w:rsidRDefault="00E27881" w:rsidP="00E27881">
      <w:pPr>
        <w:numPr>
          <w:ilvl w:val="1"/>
          <w:numId w:val="25"/>
        </w:numPr>
        <w:spacing w:before="60" w:after="120"/>
        <w:jc w:val="both"/>
        <w:rPr>
          <w:sz w:val="20"/>
          <w:szCs w:val="20"/>
        </w:rPr>
      </w:pPr>
      <w:r w:rsidRPr="00E27881">
        <w:rPr>
          <w:sz w:val="20"/>
          <w:szCs w:val="20"/>
        </w:rPr>
        <w:t>Accumulated delay across hops</w:t>
      </w:r>
    </w:p>
    <w:p w14:paraId="4D28BD4C" w14:textId="1076024E" w:rsidR="0013670E" w:rsidRPr="0013670E" w:rsidRDefault="0013670E" w:rsidP="0013670E">
      <w:pPr>
        <w:numPr>
          <w:ilvl w:val="0"/>
          <w:numId w:val="25"/>
        </w:numPr>
        <w:spacing w:before="60" w:after="120"/>
        <w:jc w:val="both"/>
        <w:rPr>
          <w:sz w:val="20"/>
          <w:szCs w:val="20"/>
        </w:rPr>
      </w:pPr>
      <w:r w:rsidRPr="0013670E">
        <w:rPr>
          <w:sz w:val="20"/>
          <w:szCs w:val="20"/>
        </w:rPr>
        <w:t>FFS to define additional SFIs for IAB in Rel-16 which support patterns which begin with uplink slots, uplink symbols, or flexible symbols.</w:t>
      </w:r>
    </w:p>
    <w:p w14:paraId="0AB7F426" w14:textId="77777777" w:rsidR="000056A7" w:rsidRDefault="000056A7" w:rsidP="00622D80">
      <w:pPr>
        <w:rPr>
          <w:rFonts w:eastAsiaTheme="minorEastAsia"/>
          <w:sz w:val="20"/>
          <w:szCs w:val="20"/>
          <w:lang w:val="en-GB" w:eastAsia="zh-CN"/>
        </w:rPr>
      </w:pPr>
    </w:p>
    <w:p w14:paraId="51D8D604" w14:textId="77777777" w:rsidR="00F350AC" w:rsidRPr="00F350AC" w:rsidRDefault="00F350AC" w:rsidP="00F350AC">
      <w:pPr>
        <w:rPr>
          <w:rFonts w:ascii="Times" w:eastAsia="Batang" w:hAnsi="Times"/>
          <w:sz w:val="20"/>
          <w:lang w:val="en-GB" w:eastAsia="x-none"/>
        </w:rPr>
      </w:pPr>
      <w:r w:rsidRPr="00F350AC">
        <w:rPr>
          <w:rFonts w:ascii="Times" w:eastAsia="Batang" w:hAnsi="Times"/>
          <w:sz w:val="20"/>
          <w:highlight w:val="green"/>
          <w:lang w:val="en-GB" w:eastAsia="x-none"/>
        </w:rPr>
        <w:t>Agreements</w:t>
      </w:r>
      <w:r w:rsidRPr="00F350AC">
        <w:rPr>
          <w:rFonts w:ascii="Times" w:eastAsia="Batang" w:hAnsi="Times"/>
          <w:sz w:val="20"/>
          <w:lang w:val="en-GB" w:eastAsia="x-none"/>
        </w:rPr>
        <w:t>:</w:t>
      </w:r>
    </w:p>
    <w:p w14:paraId="06973917" w14:textId="77777777" w:rsidR="00F350AC" w:rsidRPr="00F350AC" w:rsidRDefault="00F350AC" w:rsidP="00F350AC">
      <w:pPr>
        <w:numPr>
          <w:ilvl w:val="0"/>
          <w:numId w:val="25"/>
        </w:numPr>
        <w:spacing w:before="60" w:after="120"/>
        <w:jc w:val="both"/>
        <w:rPr>
          <w:rFonts w:ascii="Times" w:eastAsia="Batang" w:hAnsi="Times"/>
          <w:sz w:val="20"/>
          <w:lang w:val="en-GB"/>
        </w:rPr>
      </w:pPr>
      <w:r w:rsidRPr="00F350AC">
        <w:rPr>
          <w:rFonts w:ascii="Times" w:eastAsia="Batang" w:hAnsi="Times"/>
          <w:sz w:val="20"/>
          <w:lang w:val="en-GB"/>
        </w:rPr>
        <w:t>In case of Hard or Soft Indicated Available DU resources, no additional exception cases need to be defined for cell specific signals/channels to be transmitted or received by the MT in the same resource (e.g. SS/PBCH blocks, SI reception, RACH).</w:t>
      </w:r>
    </w:p>
    <w:p w14:paraId="7275CE77" w14:textId="77777777" w:rsidR="00F350AC" w:rsidRPr="00F350AC" w:rsidRDefault="00F350AC" w:rsidP="00F350AC">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The decision on whether to give priority to the DU or to the MT for the use of the resource (e.g. in case of MT RACH transmission) is left to the IAB node implementation.</w:t>
      </w:r>
    </w:p>
    <w:p w14:paraId="2C7EA464" w14:textId="77777777" w:rsidR="00F350AC" w:rsidRPr="00F350AC" w:rsidRDefault="00F350AC" w:rsidP="00F350AC">
      <w:pPr>
        <w:numPr>
          <w:ilvl w:val="2"/>
          <w:numId w:val="25"/>
        </w:numPr>
        <w:spacing w:before="60" w:after="120"/>
        <w:jc w:val="both"/>
        <w:rPr>
          <w:rFonts w:ascii="Times" w:eastAsia="Batang" w:hAnsi="Times"/>
          <w:sz w:val="20"/>
          <w:lang w:val="en-GB"/>
        </w:rPr>
      </w:pPr>
      <w:r w:rsidRPr="00F350AC">
        <w:rPr>
          <w:rFonts w:ascii="Times" w:eastAsia="Batang" w:hAnsi="Times"/>
          <w:sz w:val="20"/>
          <w:lang w:val="en-GB"/>
        </w:rPr>
        <w:t>The IAB shall fulfill its performance requirements in terms of measurement and transmission of cell specific signals / channels.</w:t>
      </w:r>
    </w:p>
    <w:p w14:paraId="11755F3B" w14:textId="77777777" w:rsidR="00F350AC" w:rsidRPr="00F350AC" w:rsidRDefault="00F350AC" w:rsidP="00F350AC">
      <w:pPr>
        <w:numPr>
          <w:ilvl w:val="0"/>
          <w:numId w:val="25"/>
        </w:numPr>
        <w:spacing w:before="60" w:after="120"/>
        <w:jc w:val="both"/>
        <w:rPr>
          <w:rFonts w:ascii="Times" w:eastAsia="Batang" w:hAnsi="Times"/>
          <w:sz w:val="20"/>
          <w:lang w:val="en-GB"/>
        </w:rPr>
      </w:pPr>
      <w:r w:rsidRPr="00F350AC">
        <w:rPr>
          <w:rFonts w:ascii="Times" w:eastAsia="Batang" w:hAnsi="Times"/>
          <w:sz w:val="20"/>
          <w:lang w:val="en-GB"/>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5ED3182C" w14:textId="77777777" w:rsidR="00F350AC" w:rsidRPr="00F350AC" w:rsidRDefault="00F350AC" w:rsidP="00F350AC">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 xml:space="preserve">Alt 1): A resource with cell-specific signals/channels configured at DU shall not be configured as type NA or Soft without being Indicated Available. </w:t>
      </w:r>
    </w:p>
    <w:p w14:paraId="63534399" w14:textId="77777777" w:rsidR="00F350AC" w:rsidRPr="00F350AC" w:rsidRDefault="00F350AC" w:rsidP="00F350AC">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lastRenderedPageBreak/>
        <w:t>Alt 2): If a DU NA or Soft resource is configured with cell-specific signals/channels, the resource is treated as if it were a Hard DU resource.</w:t>
      </w:r>
    </w:p>
    <w:p w14:paraId="0C5528D7" w14:textId="77777777" w:rsidR="00F350AC" w:rsidRPr="00F350AC" w:rsidRDefault="00F350AC" w:rsidP="00F350AC">
      <w:pPr>
        <w:numPr>
          <w:ilvl w:val="0"/>
          <w:numId w:val="25"/>
        </w:numPr>
        <w:spacing w:before="60" w:after="120"/>
        <w:jc w:val="both"/>
        <w:rPr>
          <w:rFonts w:ascii="Times" w:eastAsia="Batang" w:hAnsi="Times"/>
          <w:sz w:val="20"/>
          <w:lang w:val="en-GB"/>
        </w:rPr>
      </w:pPr>
      <w:r w:rsidRPr="00F350AC">
        <w:rPr>
          <w:rFonts w:ascii="Times" w:eastAsia="Batang" w:hAnsi="Times"/>
          <w:sz w:val="20"/>
          <w:lang w:val="en-GB"/>
        </w:rPr>
        <w:t>FFS the cell specific signals/channels. The list may include (not necessarily an exhaustive list)</w:t>
      </w:r>
    </w:p>
    <w:p w14:paraId="3A0C74EE" w14:textId="77777777" w:rsidR="00F350AC" w:rsidRPr="00F350AC" w:rsidRDefault="00F350AC" w:rsidP="00F350AC">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SSB transmissions</w:t>
      </w:r>
    </w:p>
    <w:p w14:paraId="0AEEAA7A" w14:textId="77777777" w:rsidR="00F350AC" w:rsidRPr="00F350AC" w:rsidRDefault="00F350AC" w:rsidP="00F350AC">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Broadcast system information</w:t>
      </w:r>
    </w:p>
    <w:p w14:paraId="010EBFE6" w14:textId="77777777" w:rsidR="00F350AC" w:rsidRPr="00F350AC" w:rsidRDefault="00F350AC" w:rsidP="00F350AC">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Configured periodic CSI-RS</w:t>
      </w:r>
    </w:p>
    <w:p w14:paraId="2DE48929" w14:textId="77777777" w:rsidR="00F350AC" w:rsidRPr="00F350AC" w:rsidRDefault="00F350AC" w:rsidP="00F350AC">
      <w:pPr>
        <w:numPr>
          <w:ilvl w:val="1"/>
          <w:numId w:val="25"/>
        </w:numPr>
        <w:spacing w:before="60" w:after="120"/>
        <w:contextualSpacing/>
        <w:jc w:val="both"/>
        <w:rPr>
          <w:rFonts w:ascii="Times" w:eastAsia="Batang" w:hAnsi="Times"/>
          <w:sz w:val="20"/>
          <w:lang w:val="en-GB" w:eastAsia="x-none"/>
        </w:rPr>
      </w:pPr>
      <w:r w:rsidRPr="00F350AC">
        <w:rPr>
          <w:rFonts w:ascii="Times" w:eastAsia="Batang" w:hAnsi="Times"/>
          <w:sz w:val="20"/>
          <w:lang w:val="en-GB" w:eastAsia="x-none"/>
        </w:rPr>
        <w:t>PRACH resources</w:t>
      </w:r>
    </w:p>
    <w:p w14:paraId="336EC2FD" w14:textId="77777777" w:rsidR="00F350AC" w:rsidRPr="00F350AC" w:rsidRDefault="00F350AC" w:rsidP="00F350AC">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Resources for scheduling requests</w:t>
      </w:r>
    </w:p>
    <w:p w14:paraId="3B3B21C4" w14:textId="77777777" w:rsidR="00F350AC" w:rsidRPr="00F350AC" w:rsidRDefault="00F350AC" w:rsidP="00F350AC">
      <w:pPr>
        <w:rPr>
          <w:rFonts w:ascii="Times" w:eastAsia="Batang" w:hAnsi="Times"/>
          <w:sz w:val="20"/>
          <w:szCs w:val="20"/>
          <w:lang w:val="en-GB" w:eastAsia="x-none"/>
        </w:rPr>
      </w:pPr>
      <w:r w:rsidRPr="00F350AC">
        <w:rPr>
          <w:rFonts w:ascii="Times" w:eastAsia="Batang" w:hAnsi="Times"/>
          <w:sz w:val="20"/>
          <w:szCs w:val="20"/>
          <w:highlight w:val="green"/>
          <w:lang w:val="en-GB" w:eastAsia="x-none"/>
        </w:rPr>
        <w:t>Agreements</w:t>
      </w:r>
      <w:r w:rsidRPr="00F350AC">
        <w:rPr>
          <w:rFonts w:ascii="Times" w:eastAsia="Batang" w:hAnsi="Times"/>
          <w:sz w:val="20"/>
          <w:szCs w:val="20"/>
          <w:lang w:val="en-GB" w:eastAsia="x-none"/>
        </w:rPr>
        <w:t>:</w:t>
      </w:r>
    </w:p>
    <w:p w14:paraId="668B20B9" w14:textId="77777777" w:rsidR="00F350AC" w:rsidRPr="00F350AC" w:rsidRDefault="00F350AC" w:rsidP="00F350AC">
      <w:pPr>
        <w:numPr>
          <w:ilvl w:val="0"/>
          <w:numId w:val="27"/>
        </w:numPr>
        <w:jc w:val="both"/>
        <w:rPr>
          <w:rFonts w:ascii="Times" w:eastAsia="Batang" w:hAnsi="Times"/>
          <w:sz w:val="20"/>
          <w:szCs w:val="20"/>
          <w:lang w:val="en-GB"/>
        </w:rPr>
      </w:pPr>
      <w:r w:rsidRPr="00F350AC">
        <w:rPr>
          <w:rFonts w:ascii="Times" w:eastAsia="Batang" w:hAnsi="Times"/>
          <w:sz w:val="20"/>
          <w:szCs w:val="20"/>
          <w:lang w:val="en-GB"/>
        </w:rPr>
        <w:t>An IAB node has the ability to be made aware of the semi-static DU resource configuration (D/U/F/H/S/NA) of all its child IAB nodes.</w:t>
      </w:r>
    </w:p>
    <w:p w14:paraId="02734A81" w14:textId="77777777" w:rsidR="00F350AC" w:rsidRPr="00F350AC" w:rsidRDefault="00F350AC" w:rsidP="00F350AC">
      <w:pPr>
        <w:numPr>
          <w:ilvl w:val="1"/>
          <w:numId w:val="27"/>
        </w:numPr>
        <w:jc w:val="both"/>
        <w:rPr>
          <w:rFonts w:ascii="Times" w:eastAsia="Batang" w:hAnsi="Times"/>
          <w:sz w:val="20"/>
          <w:szCs w:val="20"/>
          <w:lang w:val="en-GB"/>
        </w:rPr>
      </w:pPr>
      <w:r w:rsidRPr="00F350AC">
        <w:rPr>
          <w:rFonts w:ascii="Times" w:eastAsia="Batang" w:hAnsi="Times"/>
          <w:sz w:val="20"/>
          <w:szCs w:val="20"/>
          <w:lang w:val="en-GB"/>
        </w:rPr>
        <w:t>in the case the full DU resource configuration information of its child IAB nodes is not necessary, ensure that only the necessary configuration information is signaled to the IAB node.</w:t>
      </w:r>
    </w:p>
    <w:p w14:paraId="1BFDDC8E" w14:textId="77777777" w:rsidR="00F350AC" w:rsidRPr="00F350AC" w:rsidRDefault="00F350AC" w:rsidP="00F350AC">
      <w:pPr>
        <w:numPr>
          <w:ilvl w:val="2"/>
          <w:numId w:val="27"/>
        </w:numPr>
        <w:jc w:val="both"/>
        <w:rPr>
          <w:rFonts w:ascii="Times" w:eastAsia="Batang" w:hAnsi="Times"/>
          <w:sz w:val="20"/>
          <w:szCs w:val="20"/>
          <w:lang w:val="en-GB"/>
        </w:rPr>
      </w:pPr>
      <w:r w:rsidRPr="00F350AC">
        <w:rPr>
          <w:rFonts w:ascii="Times" w:eastAsia="Batang" w:hAnsi="Times"/>
          <w:sz w:val="20"/>
          <w:szCs w:val="20"/>
          <w:lang w:val="en-GB"/>
        </w:rPr>
        <w:t>FFS the necessary configuration information.</w:t>
      </w:r>
    </w:p>
    <w:p w14:paraId="7502F513" w14:textId="77777777" w:rsidR="00F350AC" w:rsidRPr="00F350AC" w:rsidRDefault="00F350AC" w:rsidP="00F350AC">
      <w:pPr>
        <w:rPr>
          <w:rFonts w:ascii="Times" w:eastAsia="Batang" w:hAnsi="Times"/>
          <w:sz w:val="20"/>
          <w:lang w:val="en-GB" w:eastAsia="x-none"/>
        </w:rPr>
      </w:pPr>
    </w:p>
    <w:p w14:paraId="0D80C14F" w14:textId="77777777" w:rsidR="00F350AC" w:rsidRPr="00F350AC" w:rsidRDefault="00F350AC" w:rsidP="00F350AC">
      <w:pPr>
        <w:rPr>
          <w:rFonts w:ascii="Times" w:eastAsia="Batang" w:hAnsi="Times"/>
          <w:sz w:val="20"/>
          <w:szCs w:val="20"/>
          <w:lang w:val="en-GB" w:eastAsia="x-none"/>
        </w:rPr>
      </w:pPr>
      <w:r w:rsidRPr="00F350AC">
        <w:rPr>
          <w:rFonts w:ascii="Times" w:eastAsia="Batang" w:hAnsi="Times"/>
          <w:sz w:val="20"/>
          <w:szCs w:val="20"/>
          <w:highlight w:val="green"/>
          <w:lang w:val="en-GB" w:eastAsia="x-none"/>
        </w:rPr>
        <w:t>Agreements</w:t>
      </w:r>
      <w:r w:rsidRPr="00F350AC">
        <w:rPr>
          <w:rFonts w:ascii="Times" w:eastAsia="Batang" w:hAnsi="Times"/>
          <w:sz w:val="20"/>
          <w:szCs w:val="20"/>
          <w:lang w:val="en-GB" w:eastAsia="x-none"/>
        </w:rPr>
        <w:t>:</w:t>
      </w:r>
    </w:p>
    <w:p w14:paraId="1F849A4A" w14:textId="77777777" w:rsidR="00F350AC" w:rsidRPr="00F350AC" w:rsidRDefault="00F350AC" w:rsidP="00F350AC">
      <w:pPr>
        <w:numPr>
          <w:ilvl w:val="0"/>
          <w:numId w:val="27"/>
        </w:numPr>
        <w:spacing w:after="180" w:line="276" w:lineRule="auto"/>
        <w:rPr>
          <w:rFonts w:ascii="Times" w:eastAsia="Batang" w:hAnsi="Times"/>
          <w:sz w:val="20"/>
          <w:szCs w:val="20"/>
          <w:lang w:val="en-GB"/>
        </w:rPr>
      </w:pPr>
      <w:r w:rsidRPr="00F350AC">
        <w:rPr>
          <w:rFonts w:ascii="Times" w:eastAsia="Batang" w:hAnsi="Times"/>
          <w:sz w:val="20"/>
          <w:szCs w:val="20"/>
          <w:lang w:val="en-GB"/>
        </w:rPr>
        <w:t xml:space="preserve">An explicit indication of availability of a Soft resource by the parent node makes the resource available to the child node, irrespective of the outcome of any implicit determination of availability by the child node. </w:t>
      </w:r>
    </w:p>
    <w:p w14:paraId="3D1FD144" w14:textId="77777777" w:rsidR="00F350AC" w:rsidRPr="00F350AC" w:rsidRDefault="00F350AC" w:rsidP="00F350AC">
      <w:pPr>
        <w:numPr>
          <w:ilvl w:val="0"/>
          <w:numId w:val="27"/>
        </w:numPr>
        <w:spacing w:after="180" w:line="276" w:lineRule="auto"/>
        <w:rPr>
          <w:rFonts w:ascii="Times" w:eastAsia="Batang" w:hAnsi="Times"/>
          <w:sz w:val="20"/>
          <w:szCs w:val="20"/>
          <w:lang w:val="en-GB"/>
        </w:rPr>
      </w:pPr>
      <w:r w:rsidRPr="00F350AC">
        <w:rPr>
          <w:rFonts w:ascii="Times" w:eastAsia="Batang" w:hAnsi="Times"/>
          <w:sz w:val="20"/>
          <w:szCs w:val="20"/>
          <w:lang w:val="en-GB"/>
        </w:rPr>
        <w:t>The parent node does not need to be aware of the outcome of an implicit determination of availability of a DU Soft resources at a child node.</w:t>
      </w:r>
    </w:p>
    <w:p w14:paraId="4BF2659E" w14:textId="77777777" w:rsidR="00F350AC" w:rsidRPr="00F350AC" w:rsidRDefault="00F350AC" w:rsidP="00622D80">
      <w:pPr>
        <w:rPr>
          <w:rFonts w:eastAsiaTheme="minorEastAsia" w:hint="eastAsia"/>
          <w:sz w:val="20"/>
          <w:szCs w:val="20"/>
          <w:lang w:val="en-GB" w:eastAsia="zh-CN"/>
        </w:rPr>
      </w:pPr>
    </w:p>
    <w:p w14:paraId="5660A4F1" w14:textId="56066417" w:rsidR="00547A31" w:rsidRPr="006D25AD" w:rsidRDefault="006D25AD" w:rsidP="00622D80">
      <w:pPr>
        <w:rPr>
          <w:rFonts w:eastAsiaTheme="minorEastAsia"/>
          <w:sz w:val="20"/>
          <w:szCs w:val="20"/>
          <w:lang w:val="en-GB" w:eastAsia="zh-CN"/>
        </w:rPr>
      </w:pPr>
      <w:r>
        <w:rPr>
          <w:rFonts w:eastAsiaTheme="minorEastAsia" w:hint="eastAsia"/>
          <w:sz w:val="20"/>
          <w:szCs w:val="20"/>
          <w:lang w:val="en-GB" w:eastAsia="zh-CN"/>
        </w:rPr>
        <w:t xml:space="preserve">This contribution provides views on </w:t>
      </w:r>
      <w:r>
        <w:rPr>
          <w:rFonts w:eastAsiaTheme="minorEastAsia"/>
          <w:sz w:val="20"/>
          <w:szCs w:val="20"/>
          <w:lang w:val="en-GB" w:eastAsia="zh-CN"/>
        </w:rPr>
        <w:t xml:space="preserve"> the</w:t>
      </w:r>
      <w:r w:rsidR="00E27881">
        <w:rPr>
          <w:rFonts w:eastAsiaTheme="minorEastAsia"/>
          <w:sz w:val="20"/>
          <w:szCs w:val="20"/>
          <w:lang w:val="en-GB" w:eastAsia="zh-CN"/>
        </w:rPr>
        <w:t xml:space="preserve"> above aspects and provide corresponding proposals.</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tbl>
      <w:tblPr>
        <w:tblStyle w:val="a8"/>
        <w:tblW w:w="0" w:type="auto"/>
        <w:tblLook w:val="04A0" w:firstRow="1" w:lastRow="0" w:firstColumn="1" w:lastColumn="0" w:noHBand="0" w:noVBand="1"/>
      </w:tblPr>
      <w:tblGrid>
        <w:gridCol w:w="9019"/>
      </w:tblGrid>
      <w:tr w:rsidR="008C5E6A" w14:paraId="6EA59D28" w14:textId="77777777" w:rsidTr="008C5E6A">
        <w:tc>
          <w:tcPr>
            <w:tcW w:w="9019" w:type="dxa"/>
          </w:tcPr>
          <w:p w14:paraId="6F680B68" w14:textId="77777777" w:rsidR="00D413BF" w:rsidRPr="00F350AC" w:rsidRDefault="00D413BF" w:rsidP="00D413BF">
            <w:pPr>
              <w:numPr>
                <w:ilvl w:val="0"/>
                <w:numId w:val="25"/>
              </w:numPr>
              <w:spacing w:before="60" w:after="120"/>
              <w:jc w:val="both"/>
              <w:rPr>
                <w:rFonts w:ascii="Times" w:eastAsia="Batang" w:hAnsi="Times"/>
                <w:sz w:val="20"/>
                <w:lang w:val="en-GB"/>
              </w:rPr>
            </w:pPr>
            <w:r w:rsidRPr="00F350AC">
              <w:rPr>
                <w:rFonts w:ascii="Times" w:eastAsia="Batang" w:hAnsi="Times"/>
                <w:sz w:val="20"/>
                <w:lang w:val="en-GB"/>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058A8853" w14:textId="77777777" w:rsidR="00D413BF" w:rsidRPr="00F350AC" w:rsidRDefault="00D413BF" w:rsidP="00D413BF">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 xml:space="preserve">Alt 1): A resource with cell-specific signals/channels configured at DU shall not be configured as type NA or Soft without being Indicated Available. </w:t>
            </w:r>
          </w:p>
          <w:p w14:paraId="2E9C8F3A" w14:textId="77777777" w:rsidR="00D413BF" w:rsidRPr="00F350AC" w:rsidRDefault="00D413BF" w:rsidP="00D413BF">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Alt 2): If a DU NA or Soft resource is configured with cell-specific signals/channels, the resource is treated as if it were a Hard DU resource.</w:t>
            </w:r>
          </w:p>
          <w:p w14:paraId="472F6AF4" w14:textId="77777777" w:rsidR="00D413BF" w:rsidRPr="00F350AC" w:rsidRDefault="00D413BF" w:rsidP="00D413BF">
            <w:pPr>
              <w:numPr>
                <w:ilvl w:val="0"/>
                <w:numId w:val="25"/>
              </w:numPr>
              <w:spacing w:before="60" w:after="120"/>
              <w:jc w:val="both"/>
              <w:rPr>
                <w:rFonts w:ascii="Times" w:eastAsia="Batang" w:hAnsi="Times"/>
                <w:sz w:val="20"/>
                <w:lang w:val="en-GB"/>
              </w:rPr>
            </w:pPr>
            <w:r w:rsidRPr="00F350AC">
              <w:rPr>
                <w:rFonts w:ascii="Times" w:eastAsia="Batang" w:hAnsi="Times"/>
                <w:sz w:val="20"/>
                <w:lang w:val="en-GB"/>
              </w:rPr>
              <w:t>FFS the cell specific signals/channels. The list may include (not necessarily an exhaustive list)</w:t>
            </w:r>
          </w:p>
          <w:p w14:paraId="0126E60A" w14:textId="77777777" w:rsidR="00D413BF" w:rsidRPr="00F350AC" w:rsidRDefault="00D413BF" w:rsidP="00D413BF">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SSB transmissions</w:t>
            </w:r>
          </w:p>
          <w:p w14:paraId="4C53C77A" w14:textId="77777777" w:rsidR="00D413BF" w:rsidRPr="00F350AC" w:rsidRDefault="00D413BF" w:rsidP="00D413BF">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Broadcast system information</w:t>
            </w:r>
          </w:p>
          <w:p w14:paraId="451875DA" w14:textId="77777777" w:rsidR="00D413BF" w:rsidRPr="00F350AC" w:rsidRDefault="00D413BF" w:rsidP="00D413BF">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Configured periodic CSI-RS</w:t>
            </w:r>
          </w:p>
          <w:p w14:paraId="566E0C07" w14:textId="77777777" w:rsidR="00D413BF" w:rsidRPr="00F350AC" w:rsidRDefault="00D413BF" w:rsidP="00D413BF">
            <w:pPr>
              <w:numPr>
                <w:ilvl w:val="1"/>
                <w:numId w:val="25"/>
              </w:numPr>
              <w:spacing w:before="60" w:after="120"/>
              <w:contextualSpacing/>
              <w:jc w:val="both"/>
              <w:rPr>
                <w:rFonts w:ascii="Times" w:eastAsia="Batang" w:hAnsi="Times"/>
                <w:sz w:val="20"/>
                <w:lang w:val="en-GB" w:eastAsia="x-none"/>
              </w:rPr>
            </w:pPr>
            <w:r w:rsidRPr="00F350AC">
              <w:rPr>
                <w:rFonts w:ascii="Times" w:eastAsia="Batang" w:hAnsi="Times"/>
                <w:sz w:val="20"/>
                <w:lang w:val="en-GB" w:eastAsia="x-none"/>
              </w:rPr>
              <w:t>PRACH resources</w:t>
            </w:r>
          </w:p>
          <w:p w14:paraId="177E984E" w14:textId="4F397CFE" w:rsidR="008C5E6A" w:rsidRPr="00D413BF" w:rsidRDefault="00D413BF" w:rsidP="00D413BF">
            <w:pPr>
              <w:numPr>
                <w:ilvl w:val="1"/>
                <w:numId w:val="25"/>
              </w:numPr>
              <w:spacing w:before="60" w:after="120"/>
              <w:jc w:val="both"/>
              <w:rPr>
                <w:rFonts w:ascii="Times" w:eastAsia="Batang" w:hAnsi="Times"/>
                <w:sz w:val="20"/>
                <w:lang w:val="en-GB"/>
              </w:rPr>
            </w:pPr>
            <w:r w:rsidRPr="00F350AC">
              <w:rPr>
                <w:rFonts w:ascii="Times" w:eastAsia="Batang" w:hAnsi="Times"/>
                <w:sz w:val="20"/>
                <w:lang w:val="en-GB"/>
              </w:rPr>
              <w:t>Resources for scheduling requests</w:t>
            </w:r>
          </w:p>
        </w:tc>
      </w:tr>
    </w:tbl>
    <w:p w14:paraId="0B58529C" w14:textId="77777777" w:rsidR="008C5E6A" w:rsidRDefault="008C5E6A" w:rsidP="008C5E6A">
      <w:pPr>
        <w:pStyle w:val="a0"/>
        <w:rPr>
          <w:rFonts w:eastAsia="宋体"/>
          <w:lang w:val="fr-FR" w:eastAsia="zh-CN"/>
        </w:rPr>
      </w:pPr>
    </w:p>
    <w:p w14:paraId="0D8BBE42" w14:textId="4F199749" w:rsidR="008C5E6A" w:rsidRDefault="008C5E6A" w:rsidP="008C5E6A">
      <w:pPr>
        <w:pStyle w:val="a0"/>
        <w:rPr>
          <w:rFonts w:eastAsia="宋体"/>
          <w:lang w:val="fr-FR" w:eastAsia="zh-CN"/>
        </w:rPr>
      </w:pPr>
      <w:r>
        <w:rPr>
          <w:rFonts w:eastAsia="宋体"/>
          <w:lang w:val="fr-FR" w:eastAsia="zh-CN"/>
        </w:rPr>
        <w:t>In Rel-15 NR design, it is expected the semi-static SFI can be collided with SS/PBCH blocks, RACH/SRS. And in the specification, the UE bahavious are defined as follows</w:t>
      </w:r>
      <w:r w:rsidR="00931C1C">
        <w:rPr>
          <w:rFonts w:eastAsia="宋体"/>
          <w:lang w:val="fr-FR" w:eastAsia="zh-CN"/>
        </w:rPr>
        <w:t xml:space="preserve"> in TS38.213 section 11</w:t>
      </w:r>
      <w:r>
        <w:rPr>
          <w:rFonts w:eastAsia="宋体"/>
          <w:lang w:val="fr-FR" w:eastAsia="zh-CN"/>
        </w:rPr>
        <w:t xml:space="preserve">,  </w:t>
      </w:r>
    </w:p>
    <w:p w14:paraId="08A37618" w14:textId="77777777" w:rsidR="008C5E6A" w:rsidRPr="00931C1C" w:rsidRDefault="008C5E6A" w:rsidP="00931C1C">
      <w:pPr>
        <w:ind w:leftChars="100" w:left="240"/>
        <w:rPr>
          <w:sz w:val="20"/>
          <w:szCs w:val="20"/>
        </w:rPr>
      </w:pPr>
      <w:r w:rsidRPr="00931C1C">
        <w:rPr>
          <w:sz w:val="20"/>
          <w:szCs w:val="20"/>
        </w:rPr>
        <w:t xml:space="preserve">For a set of symbols of a slot that are indicated to a UE as downlink by </w:t>
      </w:r>
      <w:r w:rsidRPr="00931C1C">
        <w:rPr>
          <w:i/>
          <w:sz w:val="20"/>
          <w:szCs w:val="20"/>
        </w:rPr>
        <w:t>TDD-UL-DL-ConfigurationCommon</w:t>
      </w:r>
      <w:r w:rsidRPr="00931C1C">
        <w:rPr>
          <w:sz w:val="20"/>
          <w:szCs w:val="20"/>
        </w:rPr>
        <w:t xml:space="preserve">, or </w:t>
      </w:r>
      <w:r w:rsidRPr="00931C1C">
        <w:rPr>
          <w:i/>
          <w:sz w:val="20"/>
          <w:szCs w:val="20"/>
        </w:rPr>
        <w:t>TDD-UL-DL-ConfigDedicated</w:t>
      </w:r>
      <w:r w:rsidRPr="00931C1C">
        <w:rPr>
          <w:sz w:val="20"/>
          <w:szCs w:val="20"/>
        </w:rPr>
        <w:t>, the UE does not transmit PUSCH, PUCCH, PRACH, or SRS in the set of symbols of the slot.</w:t>
      </w:r>
    </w:p>
    <w:p w14:paraId="54C48D9B" w14:textId="77777777" w:rsidR="008C5E6A" w:rsidRPr="00931C1C" w:rsidRDefault="008C5E6A" w:rsidP="00931C1C">
      <w:pPr>
        <w:ind w:leftChars="100" w:left="240"/>
        <w:rPr>
          <w:sz w:val="20"/>
          <w:szCs w:val="20"/>
        </w:rPr>
      </w:pPr>
      <w:r w:rsidRPr="00931C1C">
        <w:rPr>
          <w:sz w:val="20"/>
          <w:szCs w:val="20"/>
        </w:rPr>
        <w:t xml:space="preserve">For a set of symbols of a slot that are indicated to a UE by </w:t>
      </w:r>
      <w:r w:rsidRPr="00931C1C">
        <w:rPr>
          <w:i/>
          <w:sz w:val="20"/>
          <w:szCs w:val="20"/>
        </w:rPr>
        <w:t>ssb-PositionsInBurst</w:t>
      </w:r>
      <w:r w:rsidRPr="00931C1C">
        <w:rPr>
          <w:sz w:val="20"/>
          <w:szCs w:val="20"/>
        </w:rPr>
        <w:t xml:space="preserve"> in </w:t>
      </w:r>
      <w:r w:rsidRPr="00931C1C">
        <w:rPr>
          <w:i/>
          <w:sz w:val="20"/>
          <w:szCs w:val="20"/>
        </w:rPr>
        <w:t>SystemInformationBlockType1</w:t>
      </w:r>
      <w:r w:rsidRPr="00931C1C">
        <w:rPr>
          <w:sz w:val="20"/>
          <w:szCs w:val="20"/>
        </w:rPr>
        <w:t xml:space="preserve"> or </w:t>
      </w:r>
      <w:r w:rsidRPr="00931C1C">
        <w:rPr>
          <w:i/>
          <w:sz w:val="20"/>
          <w:szCs w:val="20"/>
        </w:rPr>
        <w:t>ssb-PositionsInBurst</w:t>
      </w:r>
      <w:r w:rsidRPr="00931C1C">
        <w:rPr>
          <w:sz w:val="20"/>
          <w:szCs w:val="20"/>
        </w:rPr>
        <w:t xml:space="preserve"> in </w:t>
      </w:r>
      <w:r w:rsidRPr="00931C1C">
        <w:rPr>
          <w:i/>
          <w:sz w:val="20"/>
          <w:szCs w:val="20"/>
        </w:rPr>
        <w:t>ServingCellConfigCommon</w:t>
      </w:r>
      <w:r w:rsidRPr="00931C1C">
        <w:rPr>
          <w:sz w:val="20"/>
          <w:szCs w:val="20"/>
        </w:rPr>
        <w:t xml:space="preserve">, for reception of </w:t>
      </w:r>
      <w:r w:rsidRPr="00931C1C">
        <w:rPr>
          <w:sz w:val="20"/>
          <w:szCs w:val="20"/>
        </w:rPr>
        <w:lastRenderedPageBreak/>
        <w:t xml:space="preserve">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r w:rsidRPr="00931C1C">
        <w:rPr>
          <w:i/>
          <w:sz w:val="20"/>
          <w:szCs w:val="20"/>
        </w:rPr>
        <w:t>TDD-UL-DL-ConfigurationCommon</w:t>
      </w:r>
      <w:r w:rsidRPr="00931C1C">
        <w:rPr>
          <w:sz w:val="20"/>
          <w:szCs w:val="20"/>
        </w:rPr>
        <w:t xml:space="preserve">, or </w:t>
      </w:r>
      <w:r w:rsidRPr="00931C1C">
        <w:rPr>
          <w:i/>
          <w:sz w:val="20"/>
          <w:szCs w:val="20"/>
        </w:rPr>
        <w:t>TDD-UL-DL-ConfigDedicated</w:t>
      </w:r>
      <w:r w:rsidRPr="00931C1C">
        <w:rPr>
          <w:sz w:val="20"/>
          <w:szCs w:val="20"/>
        </w:rPr>
        <w:t>, when provided to the UE.</w:t>
      </w:r>
    </w:p>
    <w:p w14:paraId="071BF793" w14:textId="77777777" w:rsidR="008C5E6A" w:rsidRPr="00931C1C" w:rsidRDefault="008C5E6A" w:rsidP="00931C1C">
      <w:pPr>
        <w:ind w:leftChars="100" w:left="240"/>
        <w:rPr>
          <w:sz w:val="20"/>
          <w:szCs w:val="20"/>
        </w:rPr>
      </w:pPr>
      <w:r w:rsidRPr="00931C1C">
        <w:rPr>
          <w:sz w:val="20"/>
          <w:szCs w:val="20"/>
        </w:rPr>
        <w:t xml:space="preserve">For a set of symbols of a slot indicated to a UE by </w:t>
      </w:r>
      <w:r w:rsidRPr="00931C1C">
        <w:rPr>
          <w:i/>
          <w:sz w:val="20"/>
          <w:szCs w:val="20"/>
        </w:rPr>
        <w:t>pdcch-ConfigSIB1</w:t>
      </w:r>
      <w:r w:rsidRPr="00931C1C">
        <w:rPr>
          <w:sz w:val="20"/>
          <w:szCs w:val="20"/>
        </w:rPr>
        <w:t xml:space="preserve"> </w:t>
      </w:r>
      <w:r w:rsidRPr="00931C1C">
        <w:rPr>
          <w:rFonts w:eastAsia="MS Mincho"/>
          <w:sz w:val="20"/>
          <w:szCs w:val="20"/>
        </w:rPr>
        <w:t xml:space="preserve">in </w:t>
      </w:r>
      <w:r w:rsidRPr="00931C1C">
        <w:rPr>
          <w:i/>
          <w:sz w:val="20"/>
          <w:szCs w:val="20"/>
        </w:rPr>
        <w:t>MIB</w:t>
      </w:r>
      <w:r w:rsidRPr="00931C1C">
        <w:rPr>
          <w:sz w:val="20"/>
          <w:szCs w:val="20"/>
        </w:rPr>
        <w:t xml:space="preserve"> for a CORESET for Type0-PDCCH CSS set, the UE does not expect the set of symbols to be indicated as uplink by </w:t>
      </w:r>
      <w:r w:rsidRPr="00931C1C">
        <w:rPr>
          <w:i/>
          <w:sz w:val="20"/>
          <w:szCs w:val="20"/>
        </w:rPr>
        <w:t>TDD-UL-DL-ConfigurationCommon</w:t>
      </w:r>
      <w:r w:rsidRPr="00931C1C">
        <w:rPr>
          <w:sz w:val="20"/>
          <w:szCs w:val="20"/>
        </w:rPr>
        <w:t xml:space="preserve">, or </w:t>
      </w:r>
      <w:r w:rsidRPr="00931C1C">
        <w:rPr>
          <w:i/>
          <w:sz w:val="20"/>
          <w:szCs w:val="20"/>
        </w:rPr>
        <w:t>TDD-UL-DL-ConfigDedicated</w:t>
      </w:r>
      <w:r w:rsidRPr="00931C1C">
        <w:rPr>
          <w:sz w:val="20"/>
          <w:szCs w:val="20"/>
        </w:rPr>
        <w:t>.</w:t>
      </w:r>
    </w:p>
    <w:p w14:paraId="17FB6C46" w14:textId="77777777" w:rsidR="008C5E6A" w:rsidRPr="00931C1C" w:rsidRDefault="008C5E6A" w:rsidP="00931C1C">
      <w:pPr>
        <w:ind w:leftChars="100" w:left="240"/>
        <w:rPr>
          <w:sz w:val="20"/>
          <w:szCs w:val="20"/>
        </w:rPr>
      </w:pPr>
      <w:r w:rsidRPr="00931C1C">
        <w:rPr>
          <w:sz w:val="20"/>
          <w:szCs w:val="20"/>
        </w:rPr>
        <w:t xml:space="preserve">For a set of symbols of a slot corresponding to a valid PRACH occasion and </w:t>
      </w:r>
      <w:r w:rsidRPr="00931C1C">
        <w:rPr>
          <w:rFonts w:eastAsiaTheme="minorEastAsia"/>
          <w:position w:val="-12"/>
          <w:sz w:val="20"/>
          <w:szCs w:val="20"/>
          <w:lang w:val="en-GB"/>
        </w:rPr>
        <w:object w:dxaOrig="405" w:dyaOrig="330" w14:anchorId="3C6F6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15pt" o:ole="">
            <v:imagedata r:id="rId8" o:title=""/>
          </v:shape>
          <o:OLEObject Type="Embed" ProgID="Equation.3" ShapeID="_x0000_i1025" DrawAspect="Content" ObjectID="_1618342826" r:id="rId9"/>
        </w:object>
      </w:r>
      <w:r w:rsidRPr="00931C1C">
        <w:rPr>
          <w:rFonts w:eastAsia="宋体"/>
          <w:sz w:val="20"/>
          <w:szCs w:val="20"/>
        </w:rPr>
        <w:t xml:space="preserve"> symbols before the valid PRACH occasion</w:t>
      </w:r>
      <w:r w:rsidRPr="00931C1C">
        <w:rPr>
          <w:sz w:val="20"/>
          <w:szCs w:val="20"/>
        </w:rPr>
        <w:t xml:space="preserve">, as described in Sublcause 8.1, the UE does not receive PDCCH for Type1-PDCCH CSS set, PDSCH, or CSI-RS in the slot if a reception would overlap with any symbol from the set of symbols. The UE does not expect the set of symbols of the slot to be indicated as downlink by </w:t>
      </w:r>
      <w:r w:rsidRPr="00931C1C">
        <w:rPr>
          <w:i/>
          <w:sz w:val="20"/>
          <w:szCs w:val="20"/>
        </w:rPr>
        <w:t>TDD-UL-DL-ConfigurationCommon</w:t>
      </w:r>
      <w:r w:rsidRPr="00931C1C">
        <w:rPr>
          <w:sz w:val="20"/>
          <w:szCs w:val="20"/>
        </w:rPr>
        <w:t xml:space="preserve"> or </w:t>
      </w:r>
      <w:r w:rsidRPr="00931C1C">
        <w:rPr>
          <w:i/>
          <w:sz w:val="20"/>
          <w:szCs w:val="20"/>
        </w:rPr>
        <w:t>TDD-UL-DL-ConfigDedicated</w:t>
      </w:r>
      <w:r w:rsidRPr="00931C1C">
        <w:rPr>
          <w:sz w:val="20"/>
          <w:szCs w:val="20"/>
        </w:rPr>
        <w:t xml:space="preserve">. </w:t>
      </w:r>
    </w:p>
    <w:p w14:paraId="26640888" w14:textId="77777777" w:rsidR="00931C1C" w:rsidRDefault="00931C1C" w:rsidP="008C5E6A">
      <w:pPr>
        <w:pStyle w:val="a0"/>
        <w:rPr>
          <w:rFonts w:eastAsia="宋体"/>
          <w:lang w:eastAsia="zh-CN"/>
        </w:rPr>
      </w:pPr>
    </w:p>
    <w:p w14:paraId="5665DCB9" w14:textId="3EF784E3" w:rsidR="008C5E6A" w:rsidRDefault="00931C1C" w:rsidP="008C5E6A">
      <w:pPr>
        <w:pStyle w:val="a0"/>
        <w:rPr>
          <w:szCs w:val="20"/>
        </w:rPr>
      </w:pPr>
      <w:r>
        <w:rPr>
          <w:rFonts w:eastAsia="宋体" w:hint="eastAsia"/>
          <w:lang w:eastAsia="zh-CN"/>
        </w:rPr>
        <w:t xml:space="preserve">Therefore, it is clear </w:t>
      </w:r>
      <w:r>
        <w:rPr>
          <w:szCs w:val="20"/>
        </w:rPr>
        <w:t>the</w:t>
      </w:r>
      <w:r w:rsidRPr="00931C1C">
        <w:rPr>
          <w:szCs w:val="20"/>
        </w:rPr>
        <w:t xml:space="preserve"> UE does not expect the set of symbols</w:t>
      </w:r>
      <w:r>
        <w:rPr>
          <w:szCs w:val="20"/>
        </w:rPr>
        <w:t xml:space="preserve"> of the slot to be indicated as conflict to the semi-static configured </w:t>
      </w:r>
      <w:r w:rsidR="00B36308">
        <w:rPr>
          <w:szCs w:val="20"/>
        </w:rPr>
        <w:t>TDD-UL-DL configurations. Similar to that, for IAB MT module, it is proposed that to follow the same principle.</w:t>
      </w:r>
    </w:p>
    <w:p w14:paraId="46E2CC68" w14:textId="3980C651" w:rsidR="00B36308" w:rsidRPr="00C03D70" w:rsidRDefault="00B36308" w:rsidP="00B36308">
      <w:pPr>
        <w:rPr>
          <w:b/>
          <w:sz w:val="20"/>
          <w:szCs w:val="20"/>
        </w:rPr>
      </w:pPr>
      <w:r w:rsidRPr="00C03D70">
        <w:rPr>
          <w:b/>
          <w:sz w:val="20"/>
          <w:szCs w:val="20"/>
        </w:rPr>
        <w:t>Proposal 1: The MT does not expect the set of symbols of the slot to be indicated as hard DU resources which are conflict to the transmission of SS/PBCH blocks, SI reception, RACH and SRS.</w:t>
      </w:r>
    </w:p>
    <w:p w14:paraId="096D19BB" w14:textId="77777777" w:rsidR="00B36308" w:rsidRPr="00B36308" w:rsidRDefault="00B36308" w:rsidP="00B36308">
      <w:pPr>
        <w:rPr>
          <w:rFonts w:ascii="Times" w:hAnsi="Times"/>
          <w:sz w:val="20"/>
          <w:szCs w:val="20"/>
        </w:rPr>
      </w:pPr>
    </w:p>
    <w:p w14:paraId="456B2530" w14:textId="151371F9" w:rsidR="004C4189" w:rsidRPr="004C4189" w:rsidRDefault="004C4189" w:rsidP="008C5E6A">
      <w:pPr>
        <w:pStyle w:val="a0"/>
        <w:rPr>
          <w:rFonts w:ascii="Times New Roman" w:eastAsiaTheme="minorEastAsia" w:hAnsi="Times New Roman"/>
          <w:szCs w:val="20"/>
          <w:lang w:eastAsia="zh-CN"/>
        </w:rPr>
      </w:pPr>
      <w:r>
        <w:rPr>
          <w:rFonts w:eastAsia="宋体"/>
          <w:lang w:eastAsia="zh-CN"/>
        </w:rPr>
        <w:t xml:space="preserve">Similar to the NR Rel-15 design, when a dynamic SFI is collided with the </w:t>
      </w:r>
      <w:r w:rsidRPr="0013670E">
        <w:rPr>
          <w:rFonts w:ascii="Times New Roman" w:hAnsi="Times New Roman"/>
          <w:szCs w:val="20"/>
        </w:rPr>
        <w:t>SS/PBCH blocks, SI reception, RACH</w:t>
      </w:r>
      <w:r>
        <w:rPr>
          <w:rFonts w:ascii="Times New Roman" w:hAnsi="Times New Roman"/>
          <w:szCs w:val="20"/>
        </w:rPr>
        <w:t xml:space="preserve"> and SRS, the UE behaviors are defined in the TS38.213 section 11</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Such UE behaviors can be further discussed as the start point for defining MT behaviors when the the set of symbols of the slot are to be indicated as soft DU resources which are conflict to the transmission of </w:t>
      </w:r>
      <w:r w:rsidRPr="00B36308">
        <w:rPr>
          <w:rFonts w:ascii="Times New Roman" w:hAnsi="Times New Roman"/>
          <w:szCs w:val="20"/>
        </w:rPr>
        <w:t>SS/PBCH blocks, SI reception, RACH and SRS.</w:t>
      </w:r>
    </w:p>
    <w:p w14:paraId="7FDD89E9" w14:textId="77777777" w:rsidR="004C4189" w:rsidRPr="00C03D70" w:rsidRDefault="004C4189" w:rsidP="008C5E6A">
      <w:pPr>
        <w:pStyle w:val="a0"/>
        <w:rPr>
          <w:rFonts w:ascii="Times New Roman" w:hAnsi="Times New Roman"/>
          <w:b/>
          <w:szCs w:val="20"/>
        </w:rPr>
      </w:pPr>
      <w:r w:rsidRPr="00C03D70">
        <w:rPr>
          <w:rFonts w:eastAsia="宋体" w:hint="eastAsia"/>
          <w:b/>
          <w:lang w:val="fr-FR" w:eastAsia="zh-CN"/>
        </w:rPr>
        <w:t>Proposal 2</w:t>
      </w:r>
      <w:r w:rsidRPr="00C03D70">
        <w:rPr>
          <w:rFonts w:eastAsia="宋体"/>
          <w:b/>
          <w:lang w:val="fr-FR" w:eastAsia="zh-CN"/>
        </w:rPr>
        <w:t> </w:t>
      </w:r>
      <w:r w:rsidRPr="00C03D70">
        <w:rPr>
          <w:rFonts w:eastAsia="宋体" w:hint="eastAsia"/>
          <w:b/>
          <w:lang w:val="fr-FR" w:eastAsia="zh-CN"/>
        </w:rPr>
        <w:t>:</w:t>
      </w:r>
      <w:r w:rsidRPr="00C03D70">
        <w:rPr>
          <w:rFonts w:eastAsia="宋体"/>
          <w:b/>
          <w:lang w:val="fr-FR" w:eastAsia="zh-CN"/>
        </w:rPr>
        <w:t xml:space="preserve"> For the use of </w:t>
      </w:r>
      <w:r w:rsidRPr="00C03D70">
        <w:rPr>
          <w:rFonts w:ascii="Times New Roman" w:hAnsi="Times New Roman"/>
          <w:b/>
          <w:szCs w:val="20"/>
        </w:rPr>
        <w:t>soft resources in case of cell-specific (e.g. SS/PBCH blocks, SI reception, RACH) signals and channels to be potentially transmitted/received at the DU.</w:t>
      </w:r>
    </w:p>
    <w:p w14:paraId="450EB49B" w14:textId="7100A9DA" w:rsidR="008C5E6A" w:rsidRPr="00C03D70" w:rsidRDefault="004C4189" w:rsidP="004C4189">
      <w:pPr>
        <w:pStyle w:val="a0"/>
        <w:numPr>
          <w:ilvl w:val="0"/>
          <w:numId w:val="26"/>
        </w:numPr>
        <w:rPr>
          <w:rFonts w:ascii="Times New Roman" w:hAnsi="Times New Roman"/>
          <w:b/>
          <w:szCs w:val="20"/>
        </w:rPr>
      </w:pPr>
      <w:r w:rsidRPr="00C03D70">
        <w:rPr>
          <w:rFonts w:ascii="Times New Roman" w:hAnsi="Times New Roman"/>
          <w:b/>
          <w:szCs w:val="20"/>
        </w:rPr>
        <w:t>Using the UE behavious for dynamic SFI colliding with the SS/PBCH blocks, SI reception, RACH and SRS as the start point.</w:t>
      </w:r>
    </w:p>
    <w:p w14:paraId="5AAA72BC" w14:textId="03E2202C" w:rsidR="009D5E73" w:rsidRPr="00C03D70" w:rsidRDefault="009D5E73" w:rsidP="008C5E6A">
      <w:pPr>
        <w:pStyle w:val="a0"/>
        <w:rPr>
          <w:rFonts w:ascii="Times New Roman" w:hAnsi="Times New Roman"/>
          <w:b/>
          <w:szCs w:val="20"/>
        </w:rPr>
      </w:pPr>
    </w:p>
    <w:tbl>
      <w:tblPr>
        <w:tblStyle w:val="a8"/>
        <w:tblW w:w="0" w:type="auto"/>
        <w:tblLook w:val="04A0" w:firstRow="1" w:lastRow="0" w:firstColumn="1" w:lastColumn="0" w:noHBand="0" w:noVBand="1"/>
      </w:tblPr>
      <w:tblGrid>
        <w:gridCol w:w="9019"/>
      </w:tblGrid>
      <w:tr w:rsidR="00C03D70" w14:paraId="3E73FF01" w14:textId="77777777" w:rsidTr="00C03D70">
        <w:tc>
          <w:tcPr>
            <w:tcW w:w="9019" w:type="dxa"/>
          </w:tcPr>
          <w:p w14:paraId="030A95F2" w14:textId="77777777" w:rsidR="00C03D70" w:rsidRPr="00E27881" w:rsidRDefault="00C03D70" w:rsidP="00C03D70">
            <w:pPr>
              <w:pStyle w:val="af3"/>
              <w:numPr>
                <w:ilvl w:val="0"/>
                <w:numId w:val="25"/>
              </w:numPr>
              <w:ind w:firstLineChars="0"/>
              <w:rPr>
                <w:rFonts w:ascii="Times New Roman" w:eastAsia="Times New Roman" w:hAnsi="Times New Roman" w:cs="Times New Roman"/>
                <w:sz w:val="20"/>
                <w:szCs w:val="20"/>
                <w:lang w:eastAsia="en-US"/>
              </w:rPr>
            </w:pPr>
            <w:r w:rsidRPr="00E27881">
              <w:rPr>
                <w:rFonts w:ascii="Times New Roman" w:eastAsia="Times New Roman" w:hAnsi="Times New Roman" w:cs="Times New Roman"/>
                <w:sz w:val="20"/>
                <w:szCs w:val="20"/>
                <w:lang w:eastAsia="en-US"/>
              </w:rPr>
              <w:t>Further consider factors impacting the usage of soft resources at a child DU, including:</w:t>
            </w:r>
          </w:p>
          <w:p w14:paraId="48270A74" w14:textId="77777777" w:rsidR="00C03D70" w:rsidRPr="00E27881" w:rsidRDefault="00C03D70" w:rsidP="00C03D70">
            <w:pPr>
              <w:numPr>
                <w:ilvl w:val="1"/>
                <w:numId w:val="25"/>
              </w:numPr>
              <w:spacing w:before="60" w:after="120"/>
              <w:jc w:val="both"/>
              <w:rPr>
                <w:sz w:val="20"/>
                <w:szCs w:val="20"/>
              </w:rPr>
            </w:pPr>
            <w:r w:rsidRPr="00E27881">
              <w:rPr>
                <w:sz w:val="20"/>
                <w:szCs w:val="20"/>
              </w:rPr>
              <w:t>MT’s decoding delay</w:t>
            </w:r>
          </w:p>
          <w:p w14:paraId="1CC8DE0F" w14:textId="77777777" w:rsidR="00C03D70" w:rsidRPr="00E27881" w:rsidRDefault="00C03D70" w:rsidP="00C03D70">
            <w:pPr>
              <w:numPr>
                <w:ilvl w:val="1"/>
                <w:numId w:val="25"/>
              </w:numPr>
              <w:spacing w:before="60" w:after="120"/>
              <w:jc w:val="both"/>
              <w:rPr>
                <w:sz w:val="20"/>
                <w:szCs w:val="20"/>
              </w:rPr>
            </w:pPr>
            <w:r w:rsidRPr="00E27881">
              <w:rPr>
                <w:sz w:val="20"/>
                <w:szCs w:val="20"/>
              </w:rPr>
              <w:t>Information exchange delay between MT and DU</w:t>
            </w:r>
          </w:p>
          <w:p w14:paraId="60FBAEBA" w14:textId="77777777" w:rsidR="00C03D70" w:rsidRPr="00E27881" w:rsidRDefault="00C03D70" w:rsidP="00C03D70">
            <w:pPr>
              <w:numPr>
                <w:ilvl w:val="1"/>
                <w:numId w:val="25"/>
              </w:numPr>
              <w:spacing w:before="60" w:after="120"/>
              <w:jc w:val="both"/>
              <w:rPr>
                <w:sz w:val="20"/>
                <w:szCs w:val="20"/>
              </w:rPr>
            </w:pPr>
            <w:r w:rsidRPr="00E27881">
              <w:rPr>
                <w:sz w:val="20"/>
                <w:szCs w:val="20"/>
              </w:rPr>
              <w:t>DU’s PDSCH preparation time</w:t>
            </w:r>
          </w:p>
          <w:p w14:paraId="326B0823" w14:textId="77777777" w:rsidR="00C03D70" w:rsidRPr="00E27881" w:rsidRDefault="00C03D70" w:rsidP="00C03D70">
            <w:pPr>
              <w:numPr>
                <w:ilvl w:val="1"/>
                <w:numId w:val="25"/>
              </w:numPr>
              <w:spacing w:before="60" w:after="120"/>
              <w:jc w:val="both"/>
              <w:rPr>
                <w:sz w:val="20"/>
                <w:szCs w:val="20"/>
              </w:rPr>
            </w:pPr>
            <w:r w:rsidRPr="00E27881">
              <w:rPr>
                <w:sz w:val="20"/>
                <w:szCs w:val="20"/>
              </w:rPr>
              <w:t>UE PUSCH preparation time</w:t>
            </w:r>
          </w:p>
          <w:p w14:paraId="5D91D3B7" w14:textId="444C20A5" w:rsidR="00C03D70" w:rsidRPr="00C03D70" w:rsidRDefault="00C03D70" w:rsidP="008C5E6A">
            <w:pPr>
              <w:numPr>
                <w:ilvl w:val="1"/>
                <w:numId w:val="25"/>
              </w:numPr>
              <w:spacing w:before="60" w:after="120"/>
              <w:jc w:val="both"/>
              <w:rPr>
                <w:sz w:val="20"/>
                <w:szCs w:val="20"/>
              </w:rPr>
            </w:pPr>
            <w:r w:rsidRPr="00E27881">
              <w:rPr>
                <w:sz w:val="20"/>
                <w:szCs w:val="20"/>
              </w:rPr>
              <w:t>Accumulated delay across hops</w:t>
            </w:r>
          </w:p>
        </w:tc>
      </w:tr>
    </w:tbl>
    <w:p w14:paraId="76C9D6CB" w14:textId="77777777" w:rsidR="003F4F94" w:rsidRDefault="003F4F94" w:rsidP="008C5E6A">
      <w:pPr>
        <w:pStyle w:val="a0"/>
        <w:rPr>
          <w:rFonts w:eastAsia="宋体"/>
          <w:lang w:eastAsia="zh-CN"/>
        </w:rPr>
      </w:pPr>
    </w:p>
    <w:p w14:paraId="4045A395" w14:textId="77777777" w:rsidR="00C03D70" w:rsidRDefault="00C03D70" w:rsidP="00C03D70">
      <w:pPr>
        <w:pStyle w:val="a0"/>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w:t>
      </w:r>
      <w:r>
        <w:rPr>
          <w:rFonts w:eastAsiaTheme="minorEastAsia"/>
          <w:lang w:val="x-none" w:eastAsia="zh-CN"/>
        </w:rPr>
        <w:t xml:space="preserve">the dynamic indication of the bakchaul and access resource, the IAB-node may requires </w:t>
      </w:r>
      <w:r w:rsidRPr="00E25186">
        <w:rPr>
          <w:rFonts w:eastAsiaTheme="minorEastAsia"/>
          <w:lang w:val="x-none"/>
        </w:rPr>
        <w:t xml:space="preserve">additional processing </w:t>
      </w:r>
      <w:r>
        <w:rPr>
          <w:rFonts w:eastAsiaTheme="minorEastAsia"/>
          <w:lang w:val="x-none" w:eastAsia="zh-CN"/>
        </w:rPr>
        <w:t>and preparing in order to use the dynamically indicated flexible resources. This need to be considered especially for “</w:t>
      </w:r>
      <w:r w:rsidRPr="00E42B04">
        <w:rPr>
          <w:rFonts w:eastAsiaTheme="minorEastAsia"/>
          <w:i/>
          <w:lang w:val="x-none" w:eastAsia="zh-CN"/>
        </w:rPr>
        <w:t>soft</w:t>
      </w:r>
      <w:r>
        <w:rPr>
          <w:rFonts w:eastAsiaTheme="minorEastAsia"/>
          <w:lang w:val="x-none" w:eastAsia="zh-CN"/>
        </w:rPr>
        <w:t>” time-resource type for IAB DU child link. Since the IAB node need processing time to know the backhaul resource allocation before making scheduling decision for the DU child link.</w:t>
      </w:r>
    </w:p>
    <w:p w14:paraId="054A21E3" w14:textId="77777777" w:rsidR="00C03D70" w:rsidRDefault="00C03D70" w:rsidP="00C03D70">
      <w:pPr>
        <w:pStyle w:val="a0"/>
        <w:rPr>
          <w:rFonts w:eastAsiaTheme="minorEastAsia"/>
          <w:lang w:val="x-none" w:eastAsia="zh-CN"/>
        </w:rPr>
      </w:pPr>
      <w:r>
        <w:rPr>
          <w:rFonts w:eastAsiaTheme="minorEastAsia"/>
          <w:lang w:val="x-none" w:eastAsia="zh-CN"/>
        </w:rPr>
        <w:t>This is also considered during the study item,</w:t>
      </w:r>
    </w:p>
    <w:p w14:paraId="429FF4FD" w14:textId="77777777" w:rsidR="00C03D70" w:rsidRPr="0083746C" w:rsidRDefault="00C03D70" w:rsidP="00C03D70">
      <w:pPr>
        <w:pStyle w:val="B1"/>
        <w:rPr>
          <w:rFonts w:eastAsiaTheme="minorEastAsia"/>
          <w:b/>
          <w:u w:val="single"/>
          <w:lang w:val="en-US" w:eastAsia="zh-CN"/>
        </w:rPr>
      </w:pPr>
      <w:r w:rsidRPr="0083746C">
        <w:rPr>
          <w:rFonts w:eastAsiaTheme="minorEastAsia"/>
          <w:b/>
          <w:u w:val="single"/>
          <w:lang w:val="en-US" w:eastAsia="zh-CN"/>
        </w:rPr>
        <w:t>TR 38.874 S</w:t>
      </w:r>
      <w:r w:rsidRPr="0083746C">
        <w:rPr>
          <w:rFonts w:eastAsiaTheme="minorEastAsia" w:hint="eastAsia"/>
          <w:b/>
          <w:u w:val="single"/>
          <w:lang w:val="en-US" w:eastAsia="zh-CN"/>
        </w:rPr>
        <w:t xml:space="preserve">ection </w:t>
      </w:r>
      <w:r w:rsidRPr="0083746C">
        <w:rPr>
          <w:rFonts w:eastAsiaTheme="minorEastAsia"/>
          <w:b/>
          <w:u w:val="single"/>
          <w:lang w:val="en-US" w:eastAsia="zh-CN"/>
        </w:rPr>
        <w:t>7.3.3</w:t>
      </w:r>
    </w:p>
    <w:p w14:paraId="0D865CAA" w14:textId="77777777" w:rsidR="00C03D70" w:rsidRDefault="00C03D70" w:rsidP="00C03D70">
      <w:pPr>
        <w:pStyle w:val="B1"/>
        <w:rPr>
          <w:rFonts w:eastAsiaTheme="minorEastAsia"/>
          <w:lang w:val="en-US" w:eastAsia="zh-CN"/>
        </w:rPr>
      </w:pPr>
      <w:r>
        <w:rPr>
          <w:rFonts w:eastAsiaTheme="minorEastAsia"/>
          <w:lang w:val="en-US" w:eastAsia="zh-CN"/>
        </w:rPr>
        <w:t>…</w:t>
      </w:r>
    </w:p>
    <w:p w14:paraId="382B3ADF" w14:textId="77777777" w:rsidR="00C03D70" w:rsidRPr="00F207B8" w:rsidRDefault="00C03D70" w:rsidP="00C03D70">
      <w:pPr>
        <w:pStyle w:val="B1"/>
        <w:rPr>
          <w:lang w:val="en-US"/>
        </w:rPr>
      </w:pPr>
      <w:r w:rsidRPr="00F207B8">
        <w:rPr>
          <w:lang w:val="en-US"/>
        </w:rPr>
        <w:t>Resource (frequency, time in terms of slot/slot format, etc.) coordination which is faster than semi-static coordination and the indication of resources within the configuration which can be dynamically and flexibly used for different links, including</w:t>
      </w:r>
    </w:p>
    <w:p w14:paraId="6D7E5AE5" w14:textId="77777777" w:rsidR="00C03D70" w:rsidRPr="00F207B8" w:rsidRDefault="00C03D70" w:rsidP="00C03D70">
      <w:pPr>
        <w:pStyle w:val="B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The need to consider the scheduling delay, IAB node processing delays, or information required to be available for the use of flexible resources</w:t>
      </w:r>
    </w:p>
    <w:p w14:paraId="5B932CD1" w14:textId="2371F3E3" w:rsidR="00C03D70" w:rsidRPr="00C03D70" w:rsidRDefault="00C03D70" w:rsidP="00C03D70">
      <w:pPr>
        <w:pStyle w:val="B2"/>
        <w:rPr>
          <w:lang w:val="en-US"/>
        </w:rPr>
      </w:pPr>
      <w:r w:rsidRPr="00C03D70">
        <w:rPr>
          <w:rFonts w:hint="eastAsia"/>
          <w:lang w:val="en-US"/>
        </w:rPr>
        <w:t>-</w:t>
      </w:r>
      <w:r w:rsidRPr="00C03D70">
        <w:rPr>
          <w:rFonts w:hint="eastAsia"/>
          <w:lang w:val="en-US"/>
        </w:rPr>
        <w:tab/>
      </w:r>
      <w:r w:rsidRPr="00F207B8">
        <w:rPr>
          <w:lang w:val="en-US"/>
        </w:rPr>
        <w:t>Mechanisms to schedule flexible resources (e.g. GC-PDCCH)</w:t>
      </w:r>
    </w:p>
    <w:p w14:paraId="1999365F" w14:textId="0802B505" w:rsidR="00C03D70" w:rsidRDefault="00C03D70" w:rsidP="00C03D70">
      <w:pPr>
        <w:pStyle w:val="a0"/>
        <w:rPr>
          <w:rFonts w:eastAsiaTheme="minorEastAsia"/>
          <w:lang w:val="x-none" w:eastAsia="zh-CN"/>
        </w:rPr>
      </w:pPr>
      <w:r w:rsidRPr="006D5513">
        <w:rPr>
          <w:rFonts w:eastAsiaTheme="minorEastAsia"/>
          <w:lang w:val="x-none" w:eastAsia="zh-CN"/>
        </w:rPr>
        <w:lastRenderedPageBreak/>
        <w:t xml:space="preserve">For the case of </w:t>
      </w:r>
      <w:r>
        <w:rPr>
          <w:rFonts w:eastAsiaTheme="minorEastAsia"/>
          <w:lang w:val="x-none" w:eastAsia="zh-CN"/>
        </w:rPr>
        <w:t xml:space="preserve">downlink, when the IAB-donor indicates the IAB-node which slot(s)/symbol(s) are used for access and backhaul link, IAB-node need some time for decoding the indication and some time for preparing using the indicated resources (includes encoding, mapping, modulation and etc.). </w:t>
      </w:r>
      <w:r>
        <w:rPr>
          <w:rFonts w:eastAsiaTheme="minorEastAsia"/>
          <w:lang w:val="x-none" w:eastAsia="zh-CN"/>
        </w:rPr>
        <w:fldChar w:fldCharType="begin"/>
      </w:r>
      <w:r>
        <w:rPr>
          <w:rFonts w:eastAsiaTheme="minorEastAsia"/>
          <w:lang w:val="x-none" w:eastAsia="zh-CN"/>
        </w:rPr>
        <w:instrText xml:space="preserve"> REF _Ref534642263 \h </w:instrText>
      </w:r>
      <w:r>
        <w:rPr>
          <w:rFonts w:eastAsiaTheme="minorEastAsia"/>
          <w:lang w:val="x-none" w:eastAsia="zh-CN"/>
        </w:rPr>
      </w:r>
      <w:r>
        <w:rPr>
          <w:rFonts w:eastAsiaTheme="minorEastAsia"/>
          <w:lang w:val="x-none" w:eastAsia="zh-CN"/>
        </w:rPr>
        <w:fldChar w:fldCharType="separate"/>
      </w:r>
      <w:r>
        <w:t xml:space="preserve">Figure </w:t>
      </w:r>
      <w:r>
        <w:rPr>
          <w:noProof/>
        </w:rPr>
        <w:t>2</w:t>
      </w:r>
      <w:r>
        <w:rPr>
          <w:rFonts w:eastAsiaTheme="minorEastAsia"/>
          <w:lang w:val="x-none" w:eastAsia="zh-CN"/>
        </w:rPr>
        <w:fldChar w:fldCharType="end"/>
      </w:r>
      <w:r>
        <w:rPr>
          <w:rFonts w:eastAsiaTheme="minorEastAsia"/>
          <w:lang w:val="x-none" w:eastAsia="zh-CN"/>
        </w:rPr>
        <w:t xml:space="preserve"> illustrates the downlink processing required between downlink indication and downlink access resource.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hint="eastAsia"/>
          <w:lang w:val="x-none" w:eastAsia="zh-CN"/>
        </w:rPr>
        <w:t xml:space="preserve"> denotes the </w:t>
      </w:r>
      <w:r w:rsidRPr="00A26B4D">
        <w:rPr>
          <w:rFonts w:eastAsiaTheme="minorEastAsia"/>
          <w:lang w:val="x-none" w:eastAsia="zh-CN"/>
        </w:rPr>
        <w:t xml:space="preserve">processing time to decode the </w:t>
      </w:r>
      <w:r>
        <w:rPr>
          <w:rFonts w:eastAsiaTheme="minorEastAsia"/>
          <w:lang w:val="x-none" w:eastAsia="zh-CN"/>
        </w:rPr>
        <w:t>indic</w:t>
      </w:r>
      <w:r w:rsidRPr="00A26B4D">
        <w:rPr>
          <w:rFonts w:eastAsiaTheme="minorEastAsia"/>
          <w:lang w:val="x-none" w:eastAsia="zh-CN"/>
        </w:rPr>
        <w:t xml:space="preserve">ation, </w:t>
      </w:r>
      <w:r w:rsidRPr="00A26B4D">
        <w:rPr>
          <w:rFonts w:eastAsiaTheme="minorEastAsia"/>
          <w:i/>
          <w:lang w:val="x-none" w:eastAsia="zh-CN"/>
        </w:rPr>
        <w:t>A</w:t>
      </w:r>
      <w:r w:rsidRPr="00A26B4D">
        <w:rPr>
          <w:rFonts w:eastAsiaTheme="minorEastAsia"/>
          <w:lang w:val="x-none" w:eastAsia="zh-CN"/>
        </w:rPr>
        <w:t xml:space="preserve"> denotes </w:t>
      </w:r>
      <w:r w:rsidRPr="00A26B4D">
        <w:rPr>
          <w:color w:val="000000"/>
        </w:rPr>
        <w:t>scheduling preparation time</w:t>
      </w:r>
      <w:r>
        <w:rPr>
          <w:color w:val="000000"/>
        </w:rPr>
        <w:t xml:space="preserve"> for the access link</w:t>
      </w:r>
      <w:r w:rsidRPr="00A26B4D">
        <w:rPr>
          <w:color w:val="000000"/>
        </w:rPr>
        <w:t>.</w:t>
      </w:r>
      <w:r>
        <w:rPr>
          <w:color w:val="000000"/>
        </w:rPr>
        <w:t xml:space="preserve"> </w:t>
      </w:r>
    </w:p>
    <w:p w14:paraId="25C7A84A" w14:textId="77777777" w:rsidR="00C03D70" w:rsidRDefault="00C03D70" w:rsidP="00C03D70">
      <w:pPr>
        <w:pStyle w:val="a0"/>
        <w:keepNext/>
        <w:jc w:val="center"/>
      </w:pPr>
      <w:r>
        <w:rPr>
          <w:noProof/>
          <w:lang w:eastAsia="zh-CN"/>
        </w:rPr>
        <w:drawing>
          <wp:inline distT="0" distB="0" distL="0" distR="0" wp14:anchorId="2191EC2B" wp14:editId="761DFE2B">
            <wp:extent cx="3481200" cy="2754000"/>
            <wp:effectExtent l="0" t="0" r="508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1200" cy="2754000"/>
                    </a:xfrm>
                    <a:prstGeom prst="rect">
                      <a:avLst/>
                    </a:prstGeom>
                    <a:noFill/>
                  </pic:spPr>
                </pic:pic>
              </a:graphicData>
            </a:graphic>
          </wp:inline>
        </w:drawing>
      </w:r>
    </w:p>
    <w:p w14:paraId="778FE730" w14:textId="77777777" w:rsidR="00C03D70" w:rsidRDefault="00C03D70" w:rsidP="00C03D70">
      <w:pPr>
        <w:pStyle w:val="a5"/>
        <w:jc w:val="center"/>
        <w:rPr>
          <w:rFonts w:eastAsiaTheme="minorEastAsia"/>
          <w:lang w:val="x-none" w:eastAsia="zh-CN"/>
        </w:rPr>
      </w:pPr>
      <w:r>
        <w:t xml:space="preserve">Figure </w:t>
      </w:r>
      <w:r w:rsidR="00DC5585">
        <w:fldChar w:fldCharType="begin"/>
      </w:r>
      <w:r w:rsidR="00DC5585">
        <w:instrText xml:space="preserve"> SEQ Figure \* ARABIC </w:instrText>
      </w:r>
      <w:r w:rsidR="00DC5585">
        <w:fldChar w:fldCharType="separate"/>
      </w:r>
      <w:r>
        <w:rPr>
          <w:noProof/>
        </w:rPr>
        <w:t>2</w:t>
      </w:r>
      <w:r w:rsidR="00DC5585">
        <w:rPr>
          <w:noProof/>
        </w:rPr>
        <w:fldChar w:fldCharType="end"/>
      </w:r>
      <w:r>
        <w:t xml:space="preserve"> </w:t>
      </w:r>
      <w:r w:rsidRPr="00E42B04">
        <w:t>IAB node scheduling delay and processing delays for downlink</w:t>
      </w:r>
    </w:p>
    <w:p w14:paraId="66A50124" w14:textId="77777777" w:rsidR="00C03D70" w:rsidRPr="006D5513" w:rsidRDefault="00C03D70" w:rsidP="00C03D70">
      <w:pPr>
        <w:pStyle w:val="a0"/>
        <w:rPr>
          <w:rFonts w:eastAsiaTheme="minorEastAsia"/>
          <w:lang w:val="x-none" w:eastAsia="zh-CN"/>
        </w:rPr>
      </w:pPr>
      <w:r w:rsidRPr="006D5513">
        <w:rPr>
          <w:rFonts w:eastAsiaTheme="minorEastAsia"/>
          <w:lang w:val="x-none" w:eastAsia="zh-CN"/>
        </w:rPr>
        <w:t xml:space="preserve">For the case of uplink, </w:t>
      </w:r>
      <w:r>
        <w:rPr>
          <w:rFonts w:eastAsiaTheme="minorEastAsia"/>
          <w:lang w:val="x-none" w:eastAsia="zh-CN"/>
        </w:rPr>
        <w:t>IAB-node also need some time for decoding the indication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lang w:val="x-none" w:eastAsia="zh-CN"/>
        </w:rPr>
        <w:t>). Also, preparation of the s</w:t>
      </w:r>
      <w:r w:rsidRPr="00D41A4F">
        <w:rPr>
          <w:rFonts w:eastAsiaTheme="minorEastAsia"/>
          <w:lang w:val="x-none" w:eastAsia="zh-CN"/>
        </w:rPr>
        <w:t>cheduling</w:t>
      </w:r>
      <w:r w:rsidRPr="00E25186">
        <w:rPr>
          <w:rFonts w:eastAsiaTheme="minorEastAsia"/>
          <w:lang w:val="x-none"/>
        </w:rPr>
        <w:t xml:space="preserve"> is </w:t>
      </w:r>
      <w:r w:rsidRPr="00D41A4F">
        <w:rPr>
          <w:rFonts w:eastAsiaTheme="minorEastAsia"/>
          <w:lang w:val="x-none" w:eastAsia="zh-CN"/>
        </w:rPr>
        <w:t xml:space="preserve">also </w:t>
      </w:r>
      <w:r w:rsidRPr="00E25186">
        <w:rPr>
          <w:rFonts w:eastAsiaTheme="minorEastAsia"/>
          <w:lang w:val="x-none"/>
        </w:rPr>
        <w:t xml:space="preserve">needed </w:t>
      </w:r>
      <w:r>
        <w:rPr>
          <w:rFonts w:eastAsiaTheme="minorEastAsia"/>
          <w:lang w:val="x-none" w:eastAsia="zh-CN"/>
        </w:rPr>
        <w:t>(</w:t>
      </w:r>
      <m:oMath>
        <m:r>
          <w:rPr>
            <w:rFonts w:ascii="Cambria Math" w:eastAsiaTheme="minorEastAsia" w:hAnsi="Cambria Math"/>
            <w:lang w:val="x-none" w:eastAsia="zh-CN"/>
          </w:rPr>
          <m:t>B</m:t>
        </m:r>
      </m:oMath>
      <w:r>
        <w:rPr>
          <w:rFonts w:eastAsiaTheme="minorEastAsia"/>
          <w:lang w:val="x-none" w:eastAsia="zh-CN"/>
        </w:rPr>
        <w:t>)</w:t>
      </w:r>
      <w:r w:rsidRPr="00D41A4F">
        <w:rPr>
          <w:rFonts w:eastAsiaTheme="minorEastAsia"/>
          <w:lang w:val="x-none" w:eastAsia="zh-CN"/>
        </w:rPr>
        <w:t xml:space="preserve">. In additional,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N</m:t>
            </m:r>
          </m:e>
          <m:sub>
            <m:r>
              <w:rPr>
                <w:rFonts w:ascii="Cambria Math" w:eastAsiaTheme="minorEastAsia" w:hAnsi="Cambria Math"/>
                <w:lang w:val="x-none" w:eastAsia="zh-CN"/>
              </w:rPr>
              <m:t>2</m:t>
            </m:r>
          </m:sub>
        </m:sSub>
      </m:oMath>
      <w:r w:rsidRPr="00D41A4F">
        <w:rPr>
          <w:rFonts w:eastAsiaTheme="minorEastAsia"/>
          <w:lang w:val="x-none" w:eastAsia="zh-CN"/>
        </w:rPr>
        <w:t xml:space="preserve"> processing time as defined in the current spec should be added in order to allow </w:t>
      </w:r>
      <w:r w:rsidRPr="00D41A4F">
        <w:rPr>
          <w:color w:val="000000"/>
        </w:rPr>
        <w:t>UE to decode the PUSCH after receiving uplink grant.</w:t>
      </w:r>
    </w:p>
    <w:p w14:paraId="6329A0B6" w14:textId="77777777" w:rsidR="00C03D70" w:rsidRDefault="00C03D70" w:rsidP="00C03D70">
      <w:pPr>
        <w:pStyle w:val="a0"/>
        <w:keepNext/>
        <w:jc w:val="center"/>
      </w:pPr>
      <w:r>
        <w:rPr>
          <w:noProof/>
          <w:lang w:eastAsia="zh-CN"/>
        </w:rPr>
        <w:drawing>
          <wp:inline distT="0" distB="0" distL="0" distR="0" wp14:anchorId="77AC9B93" wp14:editId="33D93C3B">
            <wp:extent cx="3546000" cy="2786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6000" cy="2786400"/>
                    </a:xfrm>
                    <a:prstGeom prst="rect">
                      <a:avLst/>
                    </a:prstGeom>
                    <a:noFill/>
                  </pic:spPr>
                </pic:pic>
              </a:graphicData>
            </a:graphic>
          </wp:inline>
        </w:drawing>
      </w:r>
    </w:p>
    <w:p w14:paraId="4F074FC4" w14:textId="77777777" w:rsidR="00C03D70" w:rsidRDefault="00C03D70" w:rsidP="00C03D70">
      <w:pPr>
        <w:pStyle w:val="a5"/>
        <w:jc w:val="center"/>
        <w:rPr>
          <w:rFonts w:eastAsiaTheme="minorEastAsia"/>
          <w:lang w:val="x-none" w:eastAsia="zh-CN"/>
        </w:rPr>
      </w:pPr>
      <w:r>
        <w:t xml:space="preserve">Figure </w:t>
      </w:r>
      <w:r w:rsidR="00DC5585">
        <w:fldChar w:fldCharType="begin"/>
      </w:r>
      <w:r w:rsidR="00DC5585">
        <w:instrText xml:space="preserve"> SEQ Figure \* ARABIC </w:instrText>
      </w:r>
      <w:r w:rsidR="00DC5585">
        <w:fldChar w:fldCharType="separate"/>
      </w:r>
      <w:r>
        <w:rPr>
          <w:noProof/>
        </w:rPr>
        <w:t>3</w:t>
      </w:r>
      <w:r w:rsidR="00DC5585">
        <w:rPr>
          <w:noProof/>
        </w:rPr>
        <w:fldChar w:fldCharType="end"/>
      </w:r>
      <w:r>
        <w:t xml:space="preserve"> </w:t>
      </w:r>
      <w:r w:rsidRPr="00E42B04">
        <w:t>IAB node scheduling delay and processing delays for uplink</w:t>
      </w:r>
    </w:p>
    <w:p w14:paraId="668BF063" w14:textId="2E1FEC03" w:rsidR="00C03D70" w:rsidRPr="00D73447" w:rsidRDefault="00C03D70" w:rsidP="00C03D70">
      <w:pPr>
        <w:pStyle w:val="a0"/>
        <w:rPr>
          <w:b/>
        </w:rPr>
      </w:pPr>
      <w:r w:rsidRPr="00D73447">
        <w:rPr>
          <w:rFonts w:hint="eastAsia"/>
          <w:b/>
        </w:rPr>
        <w:t xml:space="preserve">Proposal </w:t>
      </w:r>
      <w:r w:rsidR="00D413BF">
        <w:rPr>
          <w:b/>
        </w:rPr>
        <w:t>3</w:t>
      </w:r>
      <w:r w:rsidRPr="00D73447">
        <w:rPr>
          <w:rFonts w:hint="eastAsia"/>
          <w:b/>
        </w:rPr>
        <w:t>:</w:t>
      </w:r>
      <w:r>
        <w:rPr>
          <w:b/>
        </w:rPr>
        <w:t xml:space="preserve"> For IAB-node, the </w:t>
      </w:r>
      <w:r w:rsidRPr="00D73447">
        <w:rPr>
          <w:b/>
        </w:rPr>
        <w:t xml:space="preserve">processing </w:t>
      </w:r>
      <w:r>
        <w:rPr>
          <w:b/>
        </w:rPr>
        <w:t>times</w:t>
      </w:r>
      <w:r w:rsidRPr="00D73447">
        <w:rPr>
          <w:b/>
        </w:rPr>
        <w:t xml:space="preserve"> </w:t>
      </w:r>
      <w:r>
        <w:rPr>
          <w:b/>
        </w:rPr>
        <w:t>between a downlink indication for DU child link availability from parent node and PDSCH/PUSCH transmission on DU child link should be defined.</w:t>
      </w:r>
    </w:p>
    <w:tbl>
      <w:tblPr>
        <w:tblStyle w:val="a8"/>
        <w:tblW w:w="0" w:type="auto"/>
        <w:tblLook w:val="04A0" w:firstRow="1" w:lastRow="0" w:firstColumn="1" w:lastColumn="0" w:noHBand="0" w:noVBand="1"/>
      </w:tblPr>
      <w:tblGrid>
        <w:gridCol w:w="9019"/>
      </w:tblGrid>
      <w:tr w:rsidR="00C03D70" w14:paraId="7B5D4F79" w14:textId="77777777" w:rsidTr="00C03D70">
        <w:tc>
          <w:tcPr>
            <w:tcW w:w="9019" w:type="dxa"/>
          </w:tcPr>
          <w:p w14:paraId="1258FFE3" w14:textId="337755BD" w:rsidR="00C03D70" w:rsidRPr="00C03D70" w:rsidRDefault="00C03D70" w:rsidP="008C5E6A">
            <w:pPr>
              <w:numPr>
                <w:ilvl w:val="0"/>
                <w:numId w:val="25"/>
              </w:numPr>
              <w:spacing w:before="60" w:after="120"/>
              <w:jc w:val="both"/>
              <w:rPr>
                <w:sz w:val="20"/>
                <w:szCs w:val="20"/>
              </w:rPr>
            </w:pPr>
            <w:r w:rsidRPr="0013670E">
              <w:rPr>
                <w:sz w:val="20"/>
                <w:szCs w:val="20"/>
              </w:rPr>
              <w:t>FFS to define additional SFIs for IAB in Rel-16 which support patterns which begin with uplink slots, uplink symbols, or flexible symbols.</w:t>
            </w:r>
          </w:p>
        </w:tc>
      </w:tr>
    </w:tbl>
    <w:p w14:paraId="1AE43804" w14:textId="77777777" w:rsidR="00C03D70" w:rsidRPr="00C03D70" w:rsidRDefault="00C03D70" w:rsidP="008C5E6A">
      <w:pPr>
        <w:pStyle w:val="a0"/>
        <w:rPr>
          <w:rFonts w:eastAsia="宋体"/>
          <w:lang w:eastAsia="zh-CN"/>
        </w:rPr>
      </w:pPr>
    </w:p>
    <w:p w14:paraId="0B859491" w14:textId="77777777" w:rsidR="00CE13BF" w:rsidRDefault="00CE13BF" w:rsidP="00CE13BF">
      <w:pPr>
        <w:pStyle w:val="a0"/>
        <w:rPr>
          <w:rFonts w:ascii="Times New Roman" w:hAnsi="Times New Roman"/>
          <w:szCs w:val="20"/>
        </w:rPr>
      </w:pPr>
      <w:r>
        <w:rPr>
          <w:rFonts w:eastAsia="宋体" w:hint="eastAsia"/>
          <w:lang w:eastAsia="zh-CN"/>
        </w:rPr>
        <w:t xml:space="preserve">So far, existing Rel-15 mechanism supports three ways to indicate slot/symbol as </w:t>
      </w:r>
      <w:r>
        <w:rPr>
          <w:rFonts w:eastAsia="宋体"/>
          <w:lang w:eastAsia="zh-CN"/>
        </w:rPr>
        <w:t xml:space="preserve">“D”, “U” or “F” in principle, </w:t>
      </w:r>
      <w:r w:rsidRPr="00111D52">
        <w:rPr>
          <w:rFonts w:ascii="Times New Roman" w:eastAsia="宋体" w:hAnsi="Times New Roman"/>
          <w:szCs w:val="20"/>
          <w:lang w:eastAsia="zh-CN"/>
        </w:rPr>
        <w:t xml:space="preserve">namely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111D52">
        <w:rPr>
          <w:rFonts w:ascii="Times New Roman" w:hAnsi="Times New Roman"/>
          <w:szCs w:val="20"/>
        </w:rPr>
        <w:t xml:space="preserve"> and SFI in GC-PDCCH</w:t>
      </w:r>
      <w:r>
        <w:rPr>
          <w:rFonts w:ascii="Times New Roman" w:hAnsi="Times New Roman"/>
          <w:szCs w:val="20"/>
        </w:rPr>
        <w:t xml:space="preserve">. These </w:t>
      </w:r>
      <w:r>
        <w:rPr>
          <w:rFonts w:ascii="Times New Roman" w:hAnsi="Times New Roman"/>
          <w:szCs w:val="20"/>
        </w:rPr>
        <w:lastRenderedPageBreak/>
        <w:t>signallings and indications can be used as a start point to design signalling and indication for indicating the resource allocation in time for backhaul link and access link.</w:t>
      </w:r>
    </w:p>
    <w:p w14:paraId="1EA12305" w14:textId="77777777" w:rsidR="00CE13BF" w:rsidRDefault="00CE13BF" w:rsidP="00CE13BF">
      <w:pPr>
        <w:pStyle w:val="a0"/>
        <w:rPr>
          <w:rFonts w:ascii="Times New Roman" w:hAnsi="Times New Roman"/>
          <w:szCs w:val="20"/>
        </w:rPr>
      </w:pP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B21029">
        <w:rPr>
          <w:rFonts w:ascii="Times New Roman" w:hAnsi="Times New Roman"/>
          <w:szCs w:val="20"/>
        </w:rPr>
        <w:t xml:space="preserve"> </w:t>
      </w:r>
      <w:r>
        <w:rPr>
          <w:rFonts w:ascii="Times New Roman" w:hAnsi="Times New Roman"/>
          <w:szCs w:val="20"/>
        </w:rPr>
        <w:t>are</w:t>
      </w:r>
      <w:r w:rsidRPr="00B21029">
        <w:rPr>
          <w:rFonts w:ascii="Times New Roman" w:hAnsi="Times New Roman"/>
          <w:szCs w:val="20"/>
        </w:rPr>
        <w:t xml:space="preserve"> used for </w:t>
      </w:r>
      <w:r>
        <w:rPr>
          <w:rFonts w:ascii="Times New Roman" w:hAnsi="Times New Roman"/>
          <w:szCs w:val="20"/>
        </w:rPr>
        <w:t xml:space="preserve">semi-static resource partition. For </w:t>
      </w:r>
      <w:r w:rsidRPr="00111D52">
        <w:rPr>
          <w:rFonts w:ascii="Times New Roman" w:hAnsi="Times New Roman"/>
          <w:i/>
          <w:szCs w:val="20"/>
        </w:rPr>
        <w:t>TDD-UL-DL-ConfigurationCommon</w:t>
      </w:r>
      <w:r>
        <w:rPr>
          <w:rFonts w:ascii="Times New Roman" w:hAnsi="Times New Roman"/>
          <w:szCs w:val="20"/>
        </w:rPr>
        <w:t xml:space="preserve">, it always starts from downlink (if any) and end from uplink  (if any)transmission within a periodicity.  For </w:t>
      </w:r>
      <w:r w:rsidRPr="00111D52">
        <w:rPr>
          <w:rFonts w:ascii="Times New Roman" w:hAnsi="Times New Roman"/>
          <w:i/>
          <w:szCs w:val="20"/>
        </w:rPr>
        <w:t>TDD-UL-DL-ConfigDedicated</w:t>
      </w:r>
      <w:r w:rsidRPr="00B21029">
        <w:rPr>
          <w:rFonts w:ascii="Times New Roman" w:hAnsi="Times New Roman"/>
          <w:szCs w:val="20"/>
        </w:rPr>
        <w:t xml:space="preserve">, it always </w:t>
      </w:r>
      <w:r>
        <w:rPr>
          <w:rFonts w:ascii="Times New Roman" w:hAnsi="Times New Roman"/>
          <w:szCs w:val="20"/>
        </w:rPr>
        <w:t xml:space="preserve">starts from downlink (if any) and end from uplink (if any) transmission within a slot. Considering SDM access and backhaul traffic multiplexing, backhaul and access link may have different transmission directions at the same time. Hence, it is expected to further extend the signalling design for backhaul link signalling. For example, it is propose to not restrict the transmission always start from downlink and end with uplink for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Pr>
          <w:rFonts w:ascii="Times New Roman" w:hAnsi="Times New Roman"/>
          <w:szCs w:val="20"/>
        </w:rPr>
        <w:t>.</w:t>
      </w:r>
    </w:p>
    <w:p w14:paraId="26C92DF7" w14:textId="77777777" w:rsidR="00CE13BF" w:rsidRDefault="00CE13BF" w:rsidP="00CE13BF">
      <w:pPr>
        <w:pStyle w:val="a0"/>
        <w:rPr>
          <w:rFonts w:ascii="Times New Roman" w:hAnsi="Times New Roman"/>
          <w:szCs w:val="20"/>
        </w:rPr>
      </w:pPr>
      <w:r>
        <w:rPr>
          <w:rFonts w:ascii="Times New Roman" w:hAnsi="Times New Roman"/>
          <w:szCs w:val="20"/>
        </w:rPr>
        <w:t>For dynamic SFI, the current signalling alread provides enough flexibility from traffic adaptation perspective. Annex 1 provides an overview of the current supported slot formats. For the same reason to support SDM for BH and AC link, it is proposed to introduce more slot formats which allows more flexible uplink transmission from the beginning of the slot. Note such slot format can be a complementary to the existing slot format which the downlink transmission starts first and the number of symbols is very flexible. As a consequence, the BH and AC link can use these complementary slot formats respectively in order to allow SDM multiplexing between BH and AC.</w:t>
      </w:r>
    </w:p>
    <w:p w14:paraId="0EF52A96" w14:textId="43435386" w:rsidR="00CE13BF" w:rsidRDefault="00CE13BF" w:rsidP="00CE13BF">
      <w:pPr>
        <w:pStyle w:val="a0"/>
        <w:rPr>
          <w:rFonts w:ascii="Times New Roman" w:hAnsi="Times New Roman"/>
          <w:b/>
          <w:szCs w:val="20"/>
        </w:rPr>
      </w:pPr>
      <w:r w:rsidRPr="00FB411C">
        <w:rPr>
          <w:rFonts w:ascii="Times New Roman" w:hAnsi="Times New Roman"/>
          <w:b/>
          <w:szCs w:val="20"/>
        </w:rPr>
        <w:t xml:space="preserve">Proposal </w:t>
      </w:r>
      <w:r w:rsidR="00D413BF">
        <w:rPr>
          <w:rFonts w:ascii="Times New Roman" w:hAnsi="Times New Roman"/>
          <w:b/>
          <w:szCs w:val="20"/>
        </w:rPr>
        <w:t>4</w:t>
      </w:r>
      <w:r w:rsidRPr="00FB411C">
        <w:rPr>
          <w:rFonts w:ascii="Times New Roman" w:hAnsi="Times New Roman"/>
          <w:b/>
          <w:szCs w:val="20"/>
        </w:rPr>
        <w:t xml:space="preserve">: Slot format for backhaul link 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sidRPr="00FB411C">
        <w:rPr>
          <w:rFonts w:ascii="Times New Roman" w:hAnsi="Times New Roman"/>
          <w:b/>
          <w:szCs w:val="20"/>
        </w:rPr>
        <w:t xml:space="preserve"> and slot format table defined in Table 4.3.2-3 in TS38.211</w:t>
      </w:r>
      <w:r>
        <w:rPr>
          <w:rFonts w:ascii="Times New Roman" w:hAnsi="Times New Roman"/>
          <w:b/>
          <w:szCs w:val="20"/>
        </w:rPr>
        <w:t>. Extending of the signaling should be considered for the followings,</w:t>
      </w:r>
    </w:p>
    <w:p w14:paraId="6E6F6567" w14:textId="6677ED0C" w:rsidR="00CE13BF" w:rsidRPr="00B054C9" w:rsidRDefault="00CE13BF" w:rsidP="00CE13BF">
      <w:pPr>
        <w:pStyle w:val="a0"/>
        <w:numPr>
          <w:ilvl w:val="0"/>
          <w:numId w:val="15"/>
        </w:numPr>
        <w:rPr>
          <w:rFonts w:ascii="Times New Roman" w:hAnsi="Times New Roman"/>
          <w:b/>
          <w:szCs w:val="20"/>
        </w:rPr>
      </w:pPr>
      <w:r w:rsidRPr="00B054C9">
        <w:rPr>
          <w:rFonts w:ascii="Times New Roman" w:hAnsi="Times New Roman"/>
          <w:b/>
          <w:szCs w:val="20"/>
        </w:rPr>
        <w:t>No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from downlink and end with uplink for </w:t>
      </w:r>
      <w:r w:rsidRPr="00B054C9">
        <w:rPr>
          <w:rFonts w:ascii="Times New Roman" w:hAnsi="Times New Roman"/>
          <w:b/>
          <w:i/>
          <w:szCs w:val="20"/>
        </w:rPr>
        <w:t>TDD-UL-DL-ConfigurationCommon</w:t>
      </w:r>
      <w:r w:rsidRPr="00B054C9">
        <w:rPr>
          <w:rFonts w:ascii="Times New Roman" w:hAnsi="Times New Roman"/>
          <w:b/>
          <w:szCs w:val="20"/>
        </w:rPr>
        <w:t xml:space="preserve">, </w:t>
      </w:r>
      <w:r w:rsidRPr="00B054C9">
        <w:rPr>
          <w:rFonts w:ascii="Times New Roman" w:hAnsi="Times New Roman"/>
          <w:b/>
          <w:i/>
          <w:szCs w:val="20"/>
        </w:rPr>
        <w:t>TDD-UL-DL-ConfigDedicated</w:t>
      </w:r>
      <w:r w:rsidRPr="000B55E6">
        <w:rPr>
          <w:rFonts w:ascii="Times New Roman" w:hAnsi="Times New Roman"/>
          <w:b/>
          <w:szCs w:val="20"/>
        </w:rPr>
        <w:t xml:space="preserve"> </w:t>
      </w:r>
      <w:r>
        <w:rPr>
          <w:rFonts w:ascii="Times New Roman" w:hAnsi="Times New Roman"/>
          <w:b/>
          <w:szCs w:val="20"/>
        </w:rPr>
        <w:t xml:space="preserve">and </w:t>
      </w:r>
      <w:r w:rsidRPr="00FB411C">
        <w:rPr>
          <w:rFonts w:ascii="Times New Roman" w:hAnsi="Times New Roman"/>
          <w:b/>
          <w:szCs w:val="20"/>
        </w:rPr>
        <w:t>slot format table defined in Table 4.3.2-3 in TS38.21</w:t>
      </w:r>
      <w:r w:rsidR="0056267A">
        <w:rPr>
          <w:rFonts w:ascii="Times New Roman" w:hAnsi="Times New Roman"/>
          <w:b/>
          <w:szCs w:val="20"/>
        </w:rPr>
        <w:t>1</w:t>
      </w:r>
      <w:r w:rsidRPr="00B054C9">
        <w:rPr>
          <w:rFonts w:ascii="Times New Roman" w:hAnsi="Times New Roman"/>
          <w:b/>
          <w:szCs w:val="20"/>
        </w:rPr>
        <w: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15991794"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w:t>
      </w:r>
      <w:r w:rsidR="00C03D70">
        <w:rPr>
          <w:rFonts w:eastAsiaTheme="minorEastAsia"/>
          <w:szCs w:val="20"/>
          <w:lang w:eastAsia="zh-CN"/>
        </w:rPr>
        <w:t>multiplexing</w:t>
      </w:r>
      <w:r w:rsidR="00134261">
        <w:rPr>
          <w:rFonts w:eastAsiaTheme="minorEastAsia"/>
          <w:szCs w:val="20"/>
          <w:lang w:eastAsia="zh-CN"/>
        </w:rPr>
        <w:t xml:space="preserve"> among backhaul and access link and the following is proposed,</w:t>
      </w:r>
    </w:p>
    <w:bookmarkEnd w:id="0"/>
    <w:bookmarkEnd w:id="1"/>
    <w:p w14:paraId="423FE68A" w14:textId="77777777" w:rsidR="00C03D70" w:rsidRPr="00C03D70" w:rsidRDefault="00C03D70" w:rsidP="00C03D70">
      <w:pPr>
        <w:rPr>
          <w:sz w:val="20"/>
          <w:szCs w:val="20"/>
        </w:rPr>
      </w:pPr>
      <w:r w:rsidRPr="00C03D70">
        <w:rPr>
          <w:b/>
          <w:sz w:val="20"/>
          <w:szCs w:val="20"/>
        </w:rPr>
        <w:t xml:space="preserve">Proposal 1: </w:t>
      </w:r>
      <w:r w:rsidRPr="00C03D70">
        <w:rPr>
          <w:sz w:val="20"/>
          <w:szCs w:val="20"/>
        </w:rPr>
        <w:t>The MT does not expect the set of symbols of the slot to be indicated as hard DU resources which are conflict to the transmission of SS/PBCH blocks, SI reception, RACH and SRS.</w:t>
      </w:r>
    </w:p>
    <w:p w14:paraId="7EF5AC70" w14:textId="77777777" w:rsidR="00134261" w:rsidRDefault="00134261">
      <w:pPr>
        <w:rPr>
          <w:rFonts w:ascii="Times" w:hAnsi="Times"/>
          <w:sz w:val="20"/>
        </w:rPr>
      </w:pPr>
    </w:p>
    <w:p w14:paraId="3026C4B7" w14:textId="77777777" w:rsidR="00C03D70" w:rsidRPr="00C03D70" w:rsidRDefault="00C03D70" w:rsidP="00C03D70">
      <w:pPr>
        <w:pStyle w:val="a0"/>
        <w:rPr>
          <w:rFonts w:ascii="Times New Roman" w:hAnsi="Times New Roman"/>
          <w:szCs w:val="20"/>
        </w:rPr>
      </w:pPr>
      <w:r w:rsidRPr="00C03D70">
        <w:rPr>
          <w:rFonts w:eastAsia="宋体" w:hint="eastAsia"/>
          <w:b/>
          <w:lang w:val="fr-FR" w:eastAsia="zh-CN"/>
        </w:rPr>
        <w:t>Proposal 2</w:t>
      </w:r>
      <w:r w:rsidRPr="00C03D70">
        <w:rPr>
          <w:rFonts w:eastAsia="宋体"/>
          <w:b/>
          <w:lang w:val="fr-FR" w:eastAsia="zh-CN"/>
        </w:rPr>
        <w:t> </w:t>
      </w:r>
      <w:r w:rsidRPr="00C03D70">
        <w:rPr>
          <w:rFonts w:eastAsia="宋体" w:hint="eastAsia"/>
          <w:b/>
          <w:lang w:val="fr-FR" w:eastAsia="zh-CN"/>
        </w:rPr>
        <w:t>:</w:t>
      </w:r>
      <w:r w:rsidRPr="00C03D70">
        <w:rPr>
          <w:rFonts w:eastAsia="宋体"/>
          <w:lang w:val="fr-FR" w:eastAsia="zh-CN"/>
        </w:rPr>
        <w:t xml:space="preserve"> For the use of </w:t>
      </w:r>
      <w:r w:rsidRPr="00C03D70">
        <w:rPr>
          <w:rFonts w:ascii="Times New Roman" w:hAnsi="Times New Roman"/>
          <w:szCs w:val="20"/>
        </w:rPr>
        <w:t>soft resources in case of cell-specific (e.g. SS/PBCH blocks, SI reception, RACH) signals and channels to be potentially transmitted/received at the DU.</w:t>
      </w:r>
    </w:p>
    <w:p w14:paraId="75FA8AED" w14:textId="3F5C06F1" w:rsidR="00C03D70" w:rsidRPr="00C03D70" w:rsidRDefault="00C03D70" w:rsidP="00C03D70">
      <w:pPr>
        <w:pStyle w:val="a0"/>
        <w:numPr>
          <w:ilvl w:val="0"/>
          <w:numId w:val="26"/>
        </w:numPr>
        <w:rPr>
          <w:rFonts w:ascii="Times New Roman" w:hAnsi="Times New Roman"/>
          <w:szCs w:val="20"/>
        </w:rPr>
      </w:pPr>
      <w:r w:rsidRPr="00C03D70">
        <w:rPr>
          <w:rFonts w:ascii="Times New Roman" w:hAnsi="Times New Roman"/>
          <w:szCs w:val="20"/>
        </w:rPr>
        <w:t>Using the UE behavious for dynamic SFI colliding with the SS/PBCH blocks, SI reception, RACH and SRS as the start point.</w:t>
      </w:r>
    </w:p>
    <w:p w14:paraId="4E5B8710" w14:textId="493E101E" w:rsidR="00C03D70" w:rsidRPr="00C03D70" w:rsidRDefault="00C03D70" w:rsidP="00C03D70">
      <w:pPr>
        <w:pStyle w:val="a0"/>
      </w:pPr>
      <w:r w:rsidRPr="00D73447">
        <w:rPr>
          <w:rFonts w:hint="eastAsia"/>
          <w:b/>
        </w:rPr>
        <w:t xml:space="preserve">Proposal </w:t>
      </w:r>
      <w:r w:rsidR="00D413BF">
        <w:rPr>
          <w:b/>
        </w:rPr>
        <w:t>3</w:t>
      </w:r>
      <w:r w:rsidRPr="00D73447">
        <w:rPr>
          <w:rFonts w:hint="eastAsia"/>
          <w:b/>
        </w:rPr>
        <w:t>:</w:t>
      </w:r>
      <w:r>
        <w:rPr>
          <w:b/>
        </w:rPr>
        <w:t xml:space="preserve"> </w:t>
      </w:r>
      <w:r w:rsidRPr="00C03D70">
        <w:t>For IAB-node, the processing times between a downlink indication for DU child link availability from parent node and PDSCH/PUSCH transmission on DU child link should be defined.</w:t>
      </w:r>
    </w:p>
    <w:p w14:paraId="16A817E1" w14:textId="4A43E779" w:rsidR="00C03D70" w:rsidRPr="00C03D70" w:rsidRDefault="00C03D70" w:rsidP="00C03D70">
      <w:pPr>
        <w:pStyle w:val="a0"/>
        <w:rPr>
          <w:rFonts w:ascii="Times New Roman" w:hAnsi="Times New Roman"/>
          <w:szCs w:val="20"/>
        </w:rPr>
      </w:pPr>
      <w:r w:rsidRPr="00FB411C">
        <w:rPr>
          <w:rFonts w:ascii="Times New Roman" w:hAnsi="Times New Roman"/>
          <w:b/>
          <w:szCs w:val="20"/>
        </w:rPr>
        <w:t xml:space="preserve">Proposal </w:t>
      </w:r>
      <w:r w:rsidR="00D413BF">
        <w:rPr>
          <w:rFonts w:ascii="Times New Roman" w:hAnsi="Times New Roman"/>
          <w:b/>
          <w:szCs w:val="20"/>
        </w:rPr>
        <w:t>4</w:t>
      </w:r>
      <w:r w:rsidRPr="00FB411C">
        <w:rPr>
          <w:rFonts w:ascii="Times New Roman" w:hAnsi="Times New Roman"/>
          <w:b/>
          <w:szCs w:val="20"/>
        </w:rPr>
        <w:t xml:space="preserve">: </w:t>
      </w:r>
      <w:r w:rsidRPr="00C03D70">
        <w:rPr>
          <w:rFonts w:ascii="Times New Roman" w:hAnsi="Times New Roman"/>
          <w:szCs w:val="20"/>
        </w:rPr>
        <w:t xml:space="preserve">Slot format for backhaul link can be design based on the existing </w:t>
      </w:r>
      <w:r w:rsidRPr="00C03D70">
        <w:rPr>
          <w:rFonts w:ascii="Times New Roman" w:hAnsi="Times New Roman"/>
          <w:i/>
          <w:szCs w:val="20"/>
        </w:rPr>
        <w:t>TDD-UL-DL-ConfigurationCommon</w:t>
      </w:r>
      <w:r w:rsidRPr="00C03D70">
        <w:rPr>
          <w:rFonts w:ascii="Times New Roman" w:hAnsi="Times New Roman"/>
          <w:szCs w:val="20"/>
        </w:rPr>
        <w:t xml:space="preserve">, </w:t>
      </w:r>
      <w:r w:rsidRPr="00C03D70">
        <w:rPr>
          <w:rFonts w:ascii="Times New Roman" w:hAnsi="Times New Roman"/>
          <w:i/>
          <w:szCs w:val="20"/>
        </w:rPr>
        <w:t>TDD-UL-DL-ConfigDedicated</w:t>
      </w:r>
      <w:r w:rsidRPr="00C03D70">
        <w:rPr>
          <w:rFonts w:ascii="Times New Roman" w:hAnsi="Times New Roman"/>
          <w:szCs w:val="20"/>
        </w:rPr>
        <w:t xml:space="preserve"> and slot format table defined in Table 4.3.2-3 in TS38.211. Extending of the signaling should be considered for the followings,</w:t>
      </w:r>
    </w:p>
    <w:p w14:paraId="1FF25EAD" w14:textId="650A868E" w:rsidR="00C03D70" w:rsidRPr="00C03D70" w:rsidRDefault="00C03D70" w:rsidP="00C03D70">
      <w:pPr>
        <w:pStyle w:val="a0"/>
        <w:numPr>
          <w:ilvl w:val="0"/>
          <w:numId w:val="15"/>
        </w:numPr>
        <w:rPr>
          <w:rFonts w:ascii="Times New Roman" w:hAnsi="Times New Roman"/>
          <w:szCs w:val="20"/>
        </w:rPr>
      </w:pPr>
      <w:r w:rsidRPr="00C03D70">
        <w:rPr>
          <w:rFonts w:ascii="Times New Roman" w:hAnsi="Times New Roman"/>
          <w:szCs w:val="20"/>
        </w:rPr>
        <w:t xml:space="preserve">No restriction to always start from downlink and end with uplink for </w:t>
      </w:r>
      <w:r w:rsidRPr="00C03D70">
        <w:rPr>
          <w:rFonts w:ascii="Times New Roman" w:hAnsi="Times New Roman"/>
          <w:i/>
          <w:szCs w:val="20"/>
        </w:rPr>
        <w:t>TDD-UL-DL-ConfigurationCommon</w:t>
      </w:r>
      <w:r w:rsidRPr="00C03D70">
        <w:rPr>
          <w:rFonts w:ascii="Times New Roman" w:hAnsi="Times New Roman"/>
          <w:szCs w:val="20"/>
        </w:rPr>
        <w:t xml:space="preserve">, </w:t>
      </w:r>
      <w:r w:rsidRPr="00C03D70">
        <w:rPr>
          <w:rFonts w:ascii="Times New Roman" w:hAnsi="Times New Roman"/>
          <w:i/>
          <w:szCs w:val="20"/>
        </w:rPr>
        <w:t>TDD-UL-DL-ConfigDedicated</w:t>
      </w:r>
      <w:r w:rsidRPr="00C03D70">
        <w:rPr>
          <w:rFonts w:ascii="Times New Roman" w:hAnsi="Times New Roman"/>
          <w:szCs w:val="20"/>
        </w:rPr>
        <w:t xml:space="preserve"> and slot format table defined in</w:t>
      </w:r>
      <w:bookmarkStart w:id="2" w:name="_GoBack"/>
      <w:bookmarkEnd w:id="2"/>
      <w:r w:rsidRPr="00C03D70">
        <w:rPr>
          <w:rFonts w:ascii="Times New Roman" w:hAnsi="Times New Roman"/>
          <w:szCs w:val="20"/>
        </w:rPr>
        <w:t xml:space="preserve"> Table 4.3.2-3 in TS38.211.</w:t>
      </w:r>
    </w:p>
    <w:sectPr w:rsidR="00C03D70" w:rsidRPr="00C03D70">
      <w:headerReference w:type="default" r:id="rId12"/>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B4535" w14:textId="77777777" w:rsidR="0090669F" w:rsidRDefault="0090669F">
      <w:r>
        <w:separator/>
      </w:r>
    </w:p>
  </w:endnote>
  <w:endnote w:type="continuationSeparator" w:id="0">
    <w:p w14:paraId="4EE05C99" w14:textId="77777777" w:rsidR="0090669F" w:rsidRDefault="0090669F">
      <w:r>
        <w:continuationSeparator/>
      </w:r>
    </w:p>
  </w:endnote>
  <w:endnote w:type="continuationNotice" w:id="1">
    <w:p w14:paraId="7D8F3E55" w14:textId="77777777" w:rsidR="0090669F" w:rsidRDefault="00906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D413BF">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413BF">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94FB2" w14:textId="77777777" w:rsidR="0090669F" w:rsidRDefault="0090669F">
      <w:r>
        <w:separator/>
      </w:r>
    </w:p>
  </w:footnote>
  <w:footnote w:type="continuationSeparator" w:id="0">
    <w:p w14:paraId="692FB41B" w14:textId="77777777" w:rsidR="0090669F" w:rsidRDefault="0090669F">
      <w:r>
        <w:continuationSeparator/>
      </w:r>
    </w:p>
  </w:footnote>
  <w:footnote w:type="continuationNotice" w:id="1">
    <w:p w14:paraId="0EE99C99" w14:textId="77777777" w:rsidR="0090669F" w:rsidRDefault="009066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0"/>
  </w:num>
  <w:num w:numId="3">
    <w:abstractNumId w:val="25"/>
  </w:num>
  <w:num w:numId="4">
    <w:abstractNumId w:val="2"/>
  </w:num>
  <w:num w:numId="5">
    <w:abstractNumId w:val="21"/>
  </w:num>
  <w:num w:numId="6">
    <w:abstractNumId w:val="8"/>
  </w:num>
  <w:num w:numId="7">
    <w:abstractNumId w:val="20"/>
  </w:num>
  <w:num w:numId="8">
    <w:abstractNumId w:val="1"/>
  </w:num>
  <w:num w:numId="9">
    <w:abstractNumId w:val="7"/>
  </w:num>
  <w:num w:numId="10">
    <w:abstractNumId w:val="18"/>
  </w:num>
  <w:num w:numId="11">
    <w:abstractNumId w:val="9"/>
  </w:num>
  <w:num w:numId="12">
    <w:abstractNumId w:val="15"/>
  </w:num>
  <w:num w:numId="13">
    <w:abstractNumId w:val="12"/>
  </w:num>
  <w:num w:numId="14">
    <w:abstractNumId w:val="16"/>
  </w:num>
  <w:num w:numId="15">
    <w:abstractNumId w:val="11"/>
  </w:num>
  <w:num w:numId="16">
    <w:abstractNumId w:val="23"/>
  </w:num>
  <w:num w:numId="17">
    <w:abstractNumId w:val="3"/>
  </w:num>
  <w:num w:numId="18">
    <w:abstractNumId w:val="4"/>
  </w:num>
  <w:num w:numId="19">
    <w:abstractNumId w:val="24"/>
  </w:num>
  <w:num w:numId="20">
    <w:abstractNumId w:val="5"/>
  </w:num>
  <w:num w:numId="21">
    <w:abstractNumId w:val="10"/>
  </w:num>
  <w:num w:numId="22">
    <w:abstractNumId w:val="19"/>
  </w:num>
  <w:num w:numId="23">
    <w:abstractNumId w:val="13"/>
  </w:num>
  <w:num w:numId="24">
    <w:abstractNumId w:val="6"/>
  </w:num>
  <w:num w:numId="25">
    <w:abstractNumId w:val="22"/>
  </w:num>
  <w:num w:numId="26">
    <w:abstractNumId w:val="17"/>
  </w:num>
  <w:num w:numId="2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DC7"/>
    <w:rsid w:val="00123920"/>
    <w:rsid w:val="00123FA2"/>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6267A"/>
    <w:rsid w:val="005629AE"/>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8AF"/>
    <w:rsid w:val="007C53F9"/>
    <w:rsid w:val="007C6012"/>
    <w:rsid w:val="007C74FB"/>
    <w:rsid w:val="007C7954"/>
    <w:rsid w:val="007D0C2E"/>
    <w:rsid w:val="007D30B5"/>
    <w:rsid w:val="007D48FD"/>
    <w:rsid w:val="007D6771"/>
    <w:rsid w:val="007E194D"/>
    <w:rsid w:val="007E196E"/>
    <w:rsid w:val="007E2C0C"/>
    <w:rsid w:val="007E35BF"/>
    <w:rsid w:val="007E4044"/>
    <w:rsid w:val="007E4C40"/>
    <w:rsid w:val="007E4E8B"/>
    <w:rsid w:val="007E528C"/>
    <w:rsid w:val="007E7517"/>
    <w:rsid w:val="007F1C1E"/>
    <w:rsid w:val="007F1DB8"/>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69F"/>
    <w:rsid w:val="00906DE7"/>
    <w:rsid w:val="00911678"/>
    <w:rsid w:val="00915D31"/>
    <w:rsid w:val="00915D5C"/>
    <w:rsid w:val="00915F83"/>
    <w:rsid w:val="00920C25"/>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E1B0F"/>
    <w:rsid w:val="009E1CCC"/>
    <w:rsid w:val="009E2B1F"/>
    <w:rsid w:val="009E3F70"/>
    <w:rsid w:val="009E4742"/>
    <w:rsid w:val="009E79B4"/>
    <w:rsid w:val="009E7E61"/>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308"/>
    <w:rsid w:val="00B3651D"/>
    <w:rsid w:val="00B41F05"/>
    <w:rsid w:val="00B4224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10680"/>
    <w:rsid w:val="00C1109F"/>
    <w:rsid w:val="00C13CE3"/>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EAF"/>
    <w:rsid w:val="00D22780"/>
    <w:rsid w:val="00D23381"/>
    <w:rsid w:val="00D2416A"/>
    <w:rsid w:val="00D24A3C"/>
    <w:rsid w:val="00D26A2E"/>
    <w:rsid w:val="00D316FC"/>
    <w:rsid w:val="00D31C71"/>
    <w:rsid w:val="00D3265E"/>
    <w:rsid w:val="00D33D15"/>
    <w:rsid w:val="00D33F0F"/>
    <w:rsid w:val="00D34A6B"/>
    <w:rsid w:val="00D34E15"/>
    <w:rsid w:val="00D36C5C"/>
    <w:rsid w:val="00D37D64"/>
    <w:rsid w:val="00D413BF"/>
    <w:rsid w:val="00D41A4F"/>
    <w:rsid w:val="00D41EDB"/>
    <w:rsid w:val="00D42240"/>
    <w:rsid w:val="00D427B7"/>
    <w:rsid w:val="00D42B6F"/>
    <w:rsid w:val="00D42CF3"/>
    <w:rsid w:val="00D45C9C"/>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702B"/>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C129F"/>
    <w:rsid w:val="00EC25D1"/>
    <w:rsid w:val="00EC3E8B"/>
    <w:rsid w:val="00EC4342"/>
    <w:rsid w:val="00EC6936"/>
    <w:rsid w:val="00EC77F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50AC"/>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character" w:customStyle="1" w:styleId="afb">
    <w:name w:val="页眉 字符"/>
    <w:qFormat/>
    <w:rsid w:val="00F350AC"/>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47166-EC4D-4F25-AD18-75CDCF99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2040</Words>
  <Characters>11632</Characters>
  <Application>Microsoft Office Word</Application>
  <DocSecurity>0</DocSecurity>
  <Lines>96</Lines>
  <Paragraphs>27</Paragraphs>
  <ScaleCrop>false</ScaleCrop>
  <Company>vivo mobile communication co.</Company>
  <LinksUpToDate>false</LinksUpToDate>
  <CharactersWithSpaces>13645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4</cp:revision>
  <cp:lastPrinted>2008-12-09T03:19:00Z</cp:lastPrinted>
  <dcterms:created xsi:type="dcterms:W3CDTF">2019-03-29T13:56:00Z</dcterms:created>
  <dcterms:modified xsi:type="dcterms:W3CDTF">2019-05-02T14:51:00Z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